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黑体"/>
          <w:sz w:val="32"/>
          <w:szCs w:val="32"/>
        </w:rPr>
      </w:pPr>
      <w:bookmarkStart w:id="10" w:name="_GoBack"/>
      <w:bookmarkEnd w:id="10"/>
      <w:r>
        <w:rPr>
          <w:rFonts w:eastAsia="黑体"/>
          <w:sz w:val="32"/>
          <w:szCs w:val="32"/>
        </w:rPr>
        <w:t>附件</w:t>
      </w:r>
    </w:p>
    <w:p>
      <w:pPr>
        <w:spacing w:line="540" w:lineRule="exact"/>
        <w:jc w:val="center"/>
        <w:rPr>
          <w:rFonts w:eastAsia="黑体"/>
          <w:sz w:val="32"/>
          <w:szCs w:val="32"/>
        </w:rPr>
      </w:pPr>
    </w:p>
    <w:p>
      <w:pPr>
        <w:overflowPunct w:val="0"/>
        <w:spacing w:line="540" w:lineRule="exact"/>
        <w:contextualSpacing/>
        <w:jc w:val="center"/>
        <w:rPr>
          <w:rFonts w:eastAsia="方正小标宋简体"/>
          <w:color w:val="000000"/>
          <w:szCs w:val="21"/>
        </w:rPr>
      </w:pPr>
      <w:r>
        <w:rPr>
          <w:rFonts w:eastAsia="方正小标宋简体"/>
          <w:color w:val="000000"/>
          <w:sz w:val="44"/>
          <w:szCs w:val="44"/>
        </w:rPr>
        <w:t>医疗器械拓展性临床试验管理规定</w:t>
      </w:r>
    </w:p>
    <w:p>
      <w:pPr>
        <w:overflowPunct w:val="0"/>
        <w:spacing w:line="540" w:lineRule="exact"/>
        <w:contextualSpacing/>
        <w:jc w:val="center"/>
        <w:rPr>
          <w:rFonts w:eastAsia="楷体_GB2312"/>
          <w:color w:val="000000"/>
          <w:sz w:val="32"/>
          <w:szCs w:val="32"/>
        </w:rPr>
      </w:pPr>
      <w:r>
        <w:rPr>
          <w:rFonts w:eastAsia="楷体_GB2312"/>
          <w:color w:val="000000"/>
          <w:sz w:val="32"/>
          <w:szCs w:val="32"/>
        </w:rPr>
        <w:t>（征求意见稿）</w:t>
      </w:r>
    </w:p>
    <w:p>
      <w:pPr>
        <w:overflowPunct w:val="0"/>
        <w:spacing w:line="540" w:lineRule="exact"/>
        <w:contextualSpacing/>
        <w:jc w:val="center"/>
        <w:rPr>
          <w:rFonts w:eastAsia="仿宋_GB2312"/>
          <w:color w:val="000000"/>
          <w:sz w:val="32"/>
          <w:szCs w:val="32"/>
        </w:rPr>
      </w:pPr>
    </w:p>
    <w:p>
      <w:pPr>
        <w:overflowPunct w:val="0"/>
        <w:spacing w:line="540" w:lineRule="exact"/>
        <w:jc w:val="center"/>
        <w:rPr>
          <w:rFonts w:eastAsia="方正小标宋简体"/>
          <w:b/>
          <w:sz w:val="32"/>
          <w:szCs w:val="32"/>
        </w:rPr>
      </w:pPr>
      <w:r>
        <w:rPr>
          <w:rFonts w:eastAsia="方正小标宋简体"/>
          <w:sz w:val="32"/>
          <w:szCs w:val="32"/>
        </w:rPr>
        <w:t>第一章  总  则</w:t>
      </w:r>
    </w:p>
    <w:p>
      <w:pPr>
        <w:overflowPunct w:val="0"/>
        <w:spacing w:line="540" w:lineRule="exact"/>
        <w:ind w:firstLine="640" w:firstLineChars="200"/>
        <w:rPr>
          <w:rFonts w:eastAsia="仿宋_GB2312"/>
          <w:sz w:val="32"/>
          <w:szCs w:val="32"/>
        </w:rPr>
      </w:pPr>
      <w:r>
        <w:rPr>
          <w:rFonts w:eastAsia="黑体"/>
          <w:sz w:val="32"/>
          <w:szCs w:val="32"/>
        </w:rPr>
        <w:t>第一条</w:t>
      </w:r>
      <w:r>
        <w:rPr>
          <w:rFonts w:eastAsia="仿宋_GB2312"/>
          <w:sz w:val="32"/>
          <w:szCs w:val="32"/>
        </w:rPr>
        <w:t xml:space="preserve">  为进一步满足公众临床需要，使临床急需治疗的患者能尽快获得试验用医疗器械，规范医疗器械拓展性临床试验的开展和安全性数据的收集，维护受试者权益，根据中共中央办公厅、国务院办公厅《关于深化审评审批制度改革鼓励药品医疗器械创新的意见》，制定本规定。</w:t>
      </w:r>
    </w:p>
    <w:p>
      <w:pPr>
        <w:overflowPunct w:val="0"/>
        <w:spacing w:line="540" w:lineRule="exact"/>
        <w:ind w:firstLine="640" w:firstLineChars="200"/>
        <w:rPr>
          <w:rFonts w:eastAsia="仿宋_GB2312"/>
          <w:sz w:val="32"/>
          <w:szCs w:val="32"/>
        </w:rPr>
      </w:pPr>
      <w:bookmarkStart w:id="0" w:name="OLE_LINK11"/>
      <w:bookmarkStart w:id="1" w:name="OLE_LINK12"/>
      <w:r>
        <w:rPr>
          <w:rFonts w:eastAsia="黑体"/>
          <w:sz w:val="32"/>
          <w:szCs w:val="32"/>
        </w:rPr>
        <w:t>第二条</w:t>
      </w:r>
      <w:bookmarkEnd w:id="0"/>
      <w:bookmarkEnd w:id="1"/>
      <w:r>
        <w:rPr>
          <w:rFonts w:eastAsia="仿宋_GB2312"/>
          <w:sz w:val="32"/>
          <w:szCs w:val="32"/>
        </w:rPr>
        <w:t xml:space="preserve">  在中华人民共和国境内开展医疗器械拓展性临床试验，应当遵守本规定。</w:t>
      </w:r>
    </w:p>
    <w:p>
      <w:pPr>
        <w:overflowPunct w:val="0"/>
        <w:spacing w:line="540" w:lineRule="exact"/>
        <w:ind w:firstLine="640" w:firstLineChars="200"/>
        <w:rPr>
          <w:rFonts w:eastAsia="仿宋_GB2312"/>
          <w:sz w:val="32"/>
          <w:szCs w:val="32"/>
        </w:rPr>
      </w:pPr>
      <w:r>
        <w:rPr>
          <w:rFonts w:eastAsia="黑体"/>
          <w:sz w:val="32"/>
          <w:szCs w:val="32"/>
        </w:rPr>
        <w:t>第三条</w:t>
      </w:r>
      <w:r>
        <w:rPr>
          <w:rFonts w:eastAsia="仿宋_GB2312"/>
          <w:sz w:val="32"/>
          <w:szCs w:val="32"/>
        </w:rPr>
        <w:t xml:space="preserve">  本规定所称医疗器械拓展性临床试验，是指患有危及生命且尚无有效治疗手段的疾病的患者，可在开展临床试验的机构内使用尚未批准上市的医疗器械的活动和过程。拓展性临床试验医疗器械的使用需基于已有临床试验观察可能使受试者获益，且患者由于临床试验机构已按临床试验方案完成病例的入选，不能通过参加已开展的临床试验获得该医疗器械的使用。</w:t>
      </w:r>
    </w:p>
    <w:p>
      <w:pPr>
        <w:overflowPunct w:val="0"/>
        <w:spacing w:line="540" w:lineRule="exact"/>
        <w:ind w:firstLine="640" w:firstLineChars="200"/>
        <w:rPr>
          <w:rFonts w:hint="eastAsia" w:eastAsia="仿宋_GB2312"/>
          <w:sz w:val="32"/>
          <w:szCs w:val="32"/>
        </w:rPr>
      </w:pPr>
      <w:r>
        <w:rPr>
          <w:rFonts w:eastAsia="黑体"/>
          <w:sz w:val="32"/>
          <w:szCs w:val="32"/>
        </w:rPr>
        <w:t>第四条</w:t>
      </w:r>
      <w:r>
        <w:rPr>
          <w:rFonts w:eastAsia="仿宋_GB2312"/>
          <w:sz w:val="32"/>
          <w:szCs w:val="32"/>
        </w:rPr>
        <w:t xml:space="preserve">  医疗器械拓展性临床试验属于医疗器械临床试验，应当遵循《医疗器械临床试验质量管理规范》的相应规定。</w:t>
      </w:r>
    </w:p>
    <w:p>
      <w:pPr>
        <w:overflowPunct w:val="0"/>
        <w:spacing w:line="540" w:lineRule="exact"/>
        <w:ind w:firstLine="640" w:firstLineChars="200"/>
        <w:rPr>
          <w:rFonts w:eastAsia="仿宋_GB2312"/>
          <w:sz w:val="32"/>
          <w:szCs w:val="32"/>
        </w:rPr>
      </w:pPr>
    </w:p>
    <w:p>
      <w:pPr>
        <w:overflowPunct w:val="0"/>
        <w:spacing w:line="560" w:lineRule="exact"/>
        <w:jc w:val="center"/>
        <w:rPr>
          <w:rFonts w:eastAsia="方正小标宋简体"/>
          <w:sz w:val="32"/>
          <w:szCs w:val="32"/>
        </w:rPr>
      </w:pPr>
      <w:r>
        <w:rPr>
          <w:rFonts w:eastAsia="方正小标宋简体"/>
          <w:sz w:val="32"/>
          <w:szCs w:val="32"/>
        </w:rPr>
        <w:t>第二章  权益和责任</w:t>
      </w:r>
    </w:p>
    <w:p>
      <w:pPr>
        <w:overflowPunct w:val="0"/>
        <w:spacing w:line="560" w:lineRule="exact"/>
        <w:ind w:firstLine="640" w:firstLineChars="200"/>
        <w:rPr>
          <w:rFonts w:eastAsia="仿宋_GB2312"/>
          <w:sz w:val="32"/>
          <w:szCs w:val="32"/>
        </w:rPr>
      </w:pPr>
      <w:r>
        <w:rPr>
          <w:rFonts w:eastAsia="黑体"/>
          <w:sz w:val="32"/>
          <w:szCs w:val="32"/>
        </w:rPr>
        <w:t>第五条</w:t>
      </w:r>
      <w:r>
        <w:rPr>
          <w:rFonts w:eastAsia="仿宋_GB2312"/>
          <w:sz w:val="32"/>
          <w:szCs w:val="32"/>
        </w:rPr>
        <w:t xml:space="preserve">  医疗器械拓展性临床试验应当遵循《世界医学大会赫尔辛基宣言》确定的伦理准则，保障受试者权益。</w:t>
      </w:r>
    </w:p>
    <w:p>
      <w:pPr>
        <w:overflowPunct w:val="0"/>
        <w:spacing w:line="560" w:lineRule="exact"/>
        <w:ind w:firstLine="640" w:firstLineChars="200"/>
        <w:rPr>
          <w:rFonts w:eastAsia="仿宋_GB2312"/>
          <w:sz w:val="32"/>
          <w:szCs w:val="32"/>
        </w:rPr>
      </w:pPr>
      <w:r>
        <w:rPr>
          <w:rFonts w:eastAsia="仿宋_GB2312"/>
          <w:sz w:val="32"/>
          <w:szCs w:val="32"/>
        </w:rPr>
        <w:t>受试者参加医疗器械拓展性临床试验应当是自愿的，需要签署知情同意书。知情同意应当确保受试者了解其将接受试验用医疗器械的治疗，被明确告知受试者拓展性临床试验所用医疗器械尚未获得境内上市许可，以及试验用医疗器械在安全性和有效性方面可能存在的风险。在试验过程中，受试者有权</w:t>
      </w:r>
      <w:bookmarkStart w:id="2" w:name="OLE_LINK8"/>
      <w:bookmarkStart w:id="3" w:name="OLE_LINK7"/>
      <w:r>
        <w:rPr>
          <w:rFonts w:eastAsia="仿宋_GB2312"/>
          <w:sz w:val="32"/>
          <w:szCs w:val="32"/>
        </w:rPr>
        <w:t>随时</w:t>
      </w:r>
      <w:bookmarkEnd w:id="2"/>
      <w:bookmarkEnd w:id="3"/>
      <w:r>
        <w:rPr>
          <w:rFonts w:eastAsia="仿宋_GB2312"/>
          <w:sz w:val="32"/>
          <w:szCs w:val="32"/>
        </w:rPr>
        <w:t>退出。</w:t>
      </w:r>
    </w:p>
    <w:p>
      <w:pPr>
        <w:overflowPunct w:val="0"/>
        <w:spacing w:line="560" w:lineRule="exact"/>
        <w:ind w:firstLine="640" w:firstLineChars="200"/>
        <w:rPr>
          <w:rFonts w:eastAsia="仿宋_GB2312"/>
          <w:sz w:val="32"/>
          <w:szCs w:val="32"/>
        </w:rPr>
      </w:pPr>
      <w:r>
        <w:rPr>
          <w:rFonts w:eastAsia="仿宋_GB2312"/>
          <w:sz w:val="32"/>
          <w:szCs w:val="32"/>
        </w:rPr>
        <w:t>伦理审查时应当充分保障受试者权益，基于医疗器械拓展性使用的潜在风险，考虑疾病的病程，确认受试者受益大于风险。</w:t>
      </w:r>
    </w:p>
    <w:p>
      <w:pPr>
        <w:overflowPunct w:val="0"/>
        <w:spacing w:line="560" w:lineRule="exact"/>
        <w:ind w:firstLine="640" w:firstLineChars="200"/>
        <w:rPr>
          <w:rFonts w:eastAsia="仿宋_GB2312"/>
          <w:sz w:val="32"/>
          <w:szCs w:val="32"/>
        </w:rPr>
      </w:pPr>
      <w:r>
        <w:rPr>
          <w:rFonts w:eastAsia="黑体"/>
          <w:sz w:val="32"/>
          <w:szCs w:val="32"/>
        </w:rPr>
        <w:t>第六条</w:t>
      </w:r>
      <w:r>
        <w:rPr>
          <w:rFonts w:eastAsia="仿宋_GB2312"/>
          <w:sz w:val="32"/>
          <w:szCs w:val="32"/>
        </w:rPr>
        <w:t xml:space="preserve">  开展医疗器械拓展性临床试验的受试者、研究者、申办者和临床试验机构应当签订协议，明确各方权利、义务和责任。申办者、研究者、临床试验机构和伦理委员会应当参照《医疗器械临床试验质量管理规范》承担各自的责任。</w:t>
      </w:r>
    </w:p>
    <w:p>
      <w:pPr>
        <w:overflowPunct w:val="0"/>
        <w:spacing w:line="560" w:lineRule="exact"/>
        <w:ind w:firstLine="640" w:firstLineChars="200"/>
        <w:rPr>
          <w:rFonts w:eastAsia="仿宋_GB2312"/>
          <w:sz w:val="32"/>
          <w:szCs w:val="32"/>
        </w:rPr>
      </w:pPr>
      <w:r>
        <w:rPr>
          <w:rFonts w:eastAsia="仿宋_GB2312"/>
          <w:sz w:val="32"/>
          <w:szCs w:val="32"/>
        </w:rPr>
        <w:t>医疗器械临床试验机构在建立医疗器械临床试验质量管理体系时，为有效控制医疗器械拓展性临床试验质量和风险，应当针对拓展性临床试验的特点增加相应管理制度和标准操作规范，在进行医疗器械临床试验机构备案时应当提交相应的自查报告，同时建立医疗器械拓展性临床试验公示制度，接受社会监督。公示至少包括如下内容：伦理委员会意见、拓展性临床试验开展的必要性、拓展性临床试验方案。</w:t>
      </w:r>
    </w:p>
    <w:p>
      <w:pPr>
        <w:overflowPunct w:val="0"/>
        <w:spacing w:line="560" w:lineRule="exact"/>
        <w:ind w:firstLine="640" w:firstLineChars="200"/>
        <w:rPr>
          <w:rFonts w:eastAsia="仿宋_GB2312"/>
          <w:sz w:val="32"/>
          <w:szCs w:val="32"/>
        </w:rPr>
      </w:pPr>
      <w:r>
        <w:rPr>
          <w:rFonts w:eastAsia="黑体"/>
          <w:sz w:val="32"/>
          <w:szCs w:val="32"/>
        </w:rPr>
        <w:t>第七条</w:t>
      </w:r>
      <w:r>
        <w:rPr>
          <w:rFonts w:eastAsia="仿宋_GB2312"/>
          <w:sz w:val="32"/>
          <w:szCs w:val="32"/>
        </w:rPr>
        <w:t xml:space="preserve">  开展医疗器械拓展性临床试验前，申办者应当向所在地省、自治区、直辖市药品监督管理部门备案，医疗器械临床试验机构应当向所在地的卫生健康主管部门报告。</w:t>
      </w:r>
    </w:p>
    <w:p>
      <w:pPr>
        <w:overflowPunct w:val="0"/>
        <w:spacing w:line="560" w:lineRule="exact"/>
        <w:ind w:firstLine="640" w:firstLineChars="200"/>
        <w:rPr>
          <w:rFonts w:eastAsia="仿宋_GB2312"/>
          <w:sz w:val="32"/>
          <w:szCs w:val="32"/>
        </w:rPr>
      </w:pPr>
      <w:r>
        <w:rPr>
          <w:rFonts w:eastAsia="仿宋_GB2312"/>
          <w:sz w:val="32"/>
          <w:szCs w:val="32"/>
        </w:rPr>
        <w:t>接受备案的药品监督管理部门应当将备案情况通报临床试验机构所在地的同级药品监督管理部门。</w:t>
      </w:r>
    </w:p>
    <w:p>
      <w:pPr>
        <w:overflowPunct w:val="0"/>
        <w:spacing w:line="560" w:lineRule="exact"/>
        <w:ind w:firstLine="640" w:firstLineChars="200"/>
        <w:rPr>
          <w:rFonts w:eastAsia="仿宋_GB2312"/>
          <w:sz w:val="32"/>
          <w:szCs w:val="32"/>
        </w:rPr>
      </w:pPr>
      <w:r>
        <w:rPr>
          <w:rFonts w:eastAsia="黑体"/>
          <w:sz w:val="32"/>
          <w:szCs w:val="32"/>
        </w:rPr>
        <w:t>第八条</w:t>
      </w:r>
      <w:r>
        <w:rPr>
          <w:rFonts w:eastAsia="仿宋_GB2312"/>
          <w:sz w:val="32"/>
          <w:szCs w:val="32"/>
        </w:rPr>
        <w:t xml:space="preserve">  申办者应当积极尽责申请试验用医疗器械在中国境内的注册。医疗器械拓展性临床试验，不应当影响相应医疗器械临床试验的进程。</w:t>
      </w:r>
    </w:p>
    <w:p>
      <w:pPr>
        <w:overflowPunct w:val="0"/>
        <w:spacing w:line="560" w:lineRule="exact"/>
        <w:ind w:firstLine="640" w:firstLineChars="200"/>
        <w:rPr>
          <w:rFonts w:eastAsia="仿宋_GB2312"/>
          <w:sz w:val="32"/>
          <w:szCs w:val="32"/>
        </w:rPr>
      </w:pPr>
      <w:r>
        <w:rPr>
          <w:rFonts w:eastAsia="黑体"/>
          <w:sz w:val="32"/>
          <w:szCs w:val="32"/>
        </w:rPr>
        <w:t>第九条</w:t>
      </w:r>
      <w:r>
        <w:rPr>
          <w:rFonts w:eastAsia="仿宋_GB2312"/>
          <w:sz w:val="32"/>
          <w:szCs w:val="32"/>
        </w:rPr>
        <w:t xml:space="preserve">  申办者、研究者及临床试验机构不得对拓展性临床试验用医疗器械收费。</w:t>
      </w:r>
    </w:p>
    <w:p>
      <w:pPr>
        <w:overflowPunct w:val="0"/>
        <w:spacing w:line="560" w:lineRule="exact"/>
        <w:ind w:firstLine="640" w:firstLineChars="200"/>
        <w:rPr>
          <w:rFonts w:eastAsia="仿宋_GB2312"/>
          <w:sz w:val="32"/>
          <w:szCs w:val="32"/>
        </w:rPr>
      </w:pPr>
    </w:p>
    <w:p>
      <w:pPr>
        <w:overflowPunct w:val="0"/>
        <w:spacing w:line="560" w:lineRule="exact"/>
        <w:jc w:val="center"/>
        <w:rPr>
          <w:rFonts w:eastAsia="方正小标宋简体"/>
          <w:sz w:val="32"/>
          <w:szCs w:val="32"/>
        </w:rPr>
      </w:pPr>
      <w:r>
        <w:rPr>
          <w:rFonts w:eastAsia="方正小标宋简体"/>
          <w:sz w:val="32"/>
          <w:szCs w:val="32"/>
        </w:rPr>
        <w:t>第三章  启动条件</w:t>
      </w:r>
    </w:p>
    <w:p>
      <w:pPr>
        <w:overflowPunct w:val="0"/>
        <w:spacing w:line="560" w:lineRule="exact"/>
        <w:ind w:firstLine="640" w:firstLineChars="200"/>
        <w:rPr>
          <w:rFonts w:eastAsia="仿宋_GB2312"/>
          <w:sz w:val="32"/>
          <w:szCs w:val="32"/>
        </w:rPr>
      </w:pPr>
      <w:r>
        <w:rPr>
          <w:rFonts w:eastAsia="黑体"/>
          <w:sz w:val="32"/>
          <w:szCs w:val="32"/>
        </w:rPr>
        <w:t>第十条</w:t>
      </w:r>
      <w:r>
        <w:rPr>
          <w:rFonts w:eastAsia="仿宋_GB2312"/>
          <w:sz w:val="32"/>
          <w:szCs w:val="32"/>
        </w:rPr>
        <w:t xml:space="preserve">  拓展性临床试验用医疗器械应当用于治疗危及生命且尚无有效治疗手段的疾病。</w:t>
      </w:r>
    </w:p>
    <w:p>
      <w:pPr>
        <w:overflowPunct w:val="0"/>
        <w:spacing w:line="560" w:lineRule="exact"/>
        <w:ind w:firstLine="640" w:firstLineChars="200"/>
        <w:rPr>
          <w:rFonts w:eastAsia="仿宋_GB2312"/>
          <w:sz w:val="32"/>
          <w:szCs w:val="32"/>
        </w:rPr>
      </w:pPr>
      <w:r>
        <w:rPr>
          <w:rFonts w:eastAsia="黑体"/>
          <w:sz w:val="32"/>
          <w:szCs w:val="32"/>
        </w:rPr>
        <w:t>第十一条</w:t>
      </w:r>
      <w:r>
        <w:rPr>
          <w:rFonts w:eastAsia="仿宋_GB2312"/>
          <w:sz w:val="32"/>
          <w:szCs w:val="32"/>
        </w:rPr>
        <w:t xml:space="preserve">  正在开展临床试验的医疗器械经初步观察可能获益，或者已结束的临床试验结果显示医疗器械在境内拟注册适用范围内的有效性和安全性且该医疗器械尚未获准在境内上市。</w:t>
      </w:r>
    </w:p>
    <w:p>
      <w:pPr>
        <w:overflowPunct w:val="0"/>
        <w:spacing w:line="560" w:lineRule="exact"/>
        <w:ind w:firstLine="640" w:firstLineChars="200"/>
        <w:rPr>
          <w:rFonts w:eastAsia="仿宋_GB2312"/>
          <w:sz w:val="32"/>
          <w:szCs w:val="32"/>
        </w:rPr>
      </w:pPr>
      <w:r>
        <w:rPr>
          <w:rFonts w:eastAsia="黑体"/>
          <w:sz w:val="32"/>
          <w:szCs w:val="32"/>
        </w:rPr>
        <w:t>第十二条</w:t>
      </w:r>
      <w:bookmarkStart w:id="4" w:name="OLE_LINK3"/>
      <w:bookmarkStart w:id="5" w:name="OLE_LINK4"/>
      <w:r>
        <w:rPr>
          <w:rFonts w:eastAsia="仿宋_GB2312"/>
          <w:sz w:val="32"/>
          <w:szCs w:val="32"/>
        </w:rPr>
        <w:t xml:space="preserve">  拓展性临床试验用</w:t>
      </w:r>
      <w:bookmarkStart w:id="6" w:name="OLE_LINK1"/>
      <w:bookmarkStart w:id="7" w:name="OLE_LINK2"/>
      <w:r>
        <w:rPr>
          <w:rFonts w:eastAsia="仿宋_GB2312"/>
          <w:sz w:val="32"/>
          <w:szCs w:val="32"/>
        </w:rPr>
        <w:t>医疗器械</w:t>
      </w:r>
      <w:bookmarkEnd w:id="4"/>
      <w:bookmarkEnd w:id="5"/>
      <w:bookmarkEnd w:id="6"/>
      <w:bookmarkEnd w:id="7"/>
      <w:r>
        <w:rPr>
          <w:rFonts w:eastAsia="仿宋_GB2312"/>
          <w:sz w:val="32"/>
          <w:szCs w:val="32"/>
        </w:rPr>
        <w:t>，其使用方法应当与正在开展的或者已结束的临床试验一致，其适用范围不应当超出正在开展的或者已结束的临床试验确认的适用范围。</w:t>
      </w:r>
    </w:p>
    <w:p>
      <w:pPr>
        <w:overflowPunct w:val="0"/>
        <w:spacing w:line="560" w:lineRule="exact"/>
        <w:ind w:firstLine="640" w:firstLineChars="200"/>
        <w:rPr>
          <w:rFonts w:eastAsia="仿宋_GB2312"/>
          <w:sz w:val="32"/>
          <w:szCs w:val="32"/>
        </w:rPr>
      </w:pPr>
      <w:r>
        <w:rPr>
          <w:rFonts w:eastAsia="黑体"/>
          <w:sz w:val="32"/>
          <w:szCs w:val="32"/>
        </w:rPr>
        <w:t>第十三条</w:t>
      </w:r>
      <w:r>
        <w:rPr>
          <w:rFonts w:eastAsia="仿宋_GB2312"/>
          <w:sz w:val="32"/>
          <w:szCs w:val="32"/>
        </w:rPr>
        <w:t xml:space="preserve">  医疗器械拓展性临床试验应当在已开展该医疗器械临床试验的机构内进行。</w:t>
      </w:r>
    </w:p>
    <w:p>
      <w:pPr>
        <w:overflowPunct w:val="0"/>
        <w:spacing w:line="560" w:lineRule="exact"/>
        <w:ind w:firstLine="640" w:firstLineChars="200"/>
        <w:rPr>
          <w:rFonts w:eastAsia="仿宋_GB2312"/>
          <w:sz w:val="32"/>
          <w:szCs w:val="32"/>
        </w:rPr>
      </w:pPr>
      <w:r>
        <w:rPr>
          <w:rFonts w:eastAsia="黑体"/>
          <w:sz w:val="32"/>
          <w:szCs w:val="32"/>
        </w:rPr>
        <w:t>第十四条</w:t>
      </w:r>
      <w:r>
        <w:rPr>
          <w:rFonts w:eastAsia="仿宋_GB2312"/>
          <w:sz w:val="32"/>
          <w:szCs w:val="32"/>
        </w:rPr>
        <w:t xml:space="preserve">  研究者经判定认为受试者因使用试验用医疗器械引起的风险不大于疾病自身风险，预期的受益应当超过可能出现的损害。</w:t>
      </w:r>
    </w:p>
    <w:p>
      <w:pPr>
        <w:overflowPunct w:val="0"/>
        <w:spacing w:line="560" w:lineRule="exact"/>
        <w:ind w:firstLine="640" w:firstLineChars="200"/>
        <w:rPr>
          <w:rFonts w:eastAsia="仿宋_GB2312"/>
          <w:sz w:val="32"/>
          <w:szCs w:val="32"/>
        </w:rPr>
      </w:pPr>
      <w:r>
        <w:rPr>
          <w:rFonts w:eastAsia="黑体"/>
          <w:sz w:val="32"/>
          <w:szCs w:val="32"/>
        </w:rPr>
        <w:t>第十五条</w:t>
      </w:r>
      <w:r>
        <w:rPr>
          <w:rFonts w:eastAsia="仿宋_GB2312"/>
          <w:sz w:val="32"/>
          <w:szCs w:val="32"/>
        </w:rPr>
        <w:t xml:space="preserve">  拓展性医疗器械临床试验应当不干扰用于支持境内上市批准的正在进行或者已完成的临床试验。</w:t>
      </w:r>
    </w:p>
    <w:p>
      <w:pPr>
        <w:overflowPunct w:val="0"/>
        <w:spacing w:line="560" w:lineRule="exact"/>
        <w:ind w:firstLine="640" w:firstLineChars="200"/>
        <w:rPr>
          <w:rFonts w:eastAsia="仿宋_GB2312"/>
          <w:sz w:val="32"/>
          <w:szCs w:val="32"/>
        </w:rPr>
      </w:pPr>
      <w:bookmarkStart w:id="8" w:name="_Toc499125454"/>
      <w:bookmarkStart w:id="9" w:name="_Toc499192654"/>
      <w:r>
        <w:rPr>
          <w:rFonts w:eastAsia="黑体"/>
          <w:sz w:val="32"/>
          <w:szCs w:val="32"/>
        </w:rPr>
        <w:t>第十六条</w:t>
      </w:r>
      <w:r>
        <w:rPr>
          <w:rFonts w:eastAsia="仿宋_GB2312"/>
          <w:sz w:val="32"/>
          <w:szCs w:val="32"/>
        </w:rPr>
        <w:t xml:space="preserve">  医疗器械拓展性临床试验的伦理审查应当有使用医疗器械相应的专业医生参与。</w:t>
      </w:r>
    </w:p>
    <w:p>
      <w:pPr>
        <w:overflowPunct w:val="0"/>
        <w:spacing w:line="560" w:lineRule="exact"/>
        <w:ind w:firstLine="640" w:firstLineChars="200"/>
        <w:rPr>
          <w:rFonts w:eastAsia="仿宋_GB2312"/>
          <w:sz w:val="32"/>
          <w:szCs w:val="32"/>
        </w:rPr>
      </w:pPr>
      <w:r>
        <w:rPr>
          <w:rFonts w:eastAsia="黑体"/>
          <w:sz w:val="32"/>
          <w:szCs w:val="32"/>
        </w:rPr>
        <w:t>第十七条</w:t>
      </w:r>
      <w:r>
        <w:rPr>
          <w:rFonts w:eastAsia="仿宋_GB2312"/>
          <w:sz w:val="32"/>
          <w:szCs w:val="32"/>
        </w:rPr>
        <w:t xml:space="preserve">  医疗器械临床试验机构应当具备与医疗器械拓展性临床试验相适应的组织管理和质量控制能力，同时具备以下条件：</w:t>
      </w:r>
    </w:p>
    <w:p>
      <w:pPr>
        <w:overflowPunct w:val="0"/>
        <w:spacing w:line="560" w:lineRule="exact"/>
        <w:ind w:firstLine="640" w:firstLineChars="200"/>
        <w:rPr>
          <w:rFonts w:eastAsia="仿宋_GB2312"/>
          <w:sz w:val="32"/>
          <w:szCs w:val="32"/>
        </w:rPr>
      </w:pPr>
      <w:r>
        <w:rPr>
          <w:rFonts w:eastAsia="仿宋_GB2312"/>
          <w:sz w:val="32"/>
          <w:szCs w:val="32"/>
        </w:rPr>
        <w:t>（一）三级甲等医疗机构，已开展同种疾病研究和治疗，临床专业水平国内先进，具有与拟开展的拓展性临床试验相适应的诊疗项目；</w:t>
      </w:r>
    </w:p>
    <w:p>
      <w:pPr>
        <w:overflowPunct w:val="0"/>
        <w:spacing w:line="560" w:lineRule="exact"/>
        <w:ind w:firstLine="640" w:firstLineChars="200"/>
        <w:rPr>
          <w:rFonts w:eastAsia="仿宋_GB2312"/>
          <w:sz w:val="32"/>
          <w:szCs w:val="32"/>
        </w:rPr>
      </w:pPr>
      <w:r>
        <w:rPr>
          <w:rFonts w:eastAsia="仿宋_GB2312"/>
          <w:sz w:val="32"/>
          <w:szCs w:val="32"/>
        </w:rPr>
        <w:t>（二）具有在医疗机构注册的、能够使用拓展性临床试验用医疗器械的医师，具备相关使用经验或培训经历；</w:t>
      </w:r>
    </w:p>
    <w:p>
      <w:pPr>
        <w:overflowPunct w:val="0"/>
        <w:spacing w:line="560" w:lineRule="exact"/>
        <w:ind w:firstLine="640" w:firstLineChars="200"/>
        <w:rPr>
          <w:rFonts w:eastAsia="仿宋_GB2312"/>
          <w:sz w:val="32"/>
          <w:szCs w:val="32"/>
        </w:rPr>
      </w:pPr>
      <w:r>
        <w:rPr>
          <w:rFonts w:eastAsia="仿宋_GB2312"/>
          <w:sz w:val="32"/>
          <w:szCs w:val="32"/>
        </w:rPr>
        <w:t>（三）具备较高的医疗器械管理水平，已建立完善的医疗器械使用质量管理体系，具备医疗器械使用评价和医疗器械不良事件监测能力。</w:t>
      </w:r>
    </w:p>
    <w:p>
      <w:pPr>
        <w:overflowPunct w:val="0"/>
        <w:spacing w:line="560" w:lineRule="exact"/>
        <w:ind w:firstLine="640" w:firstLineChars="200"/>
        <w:rPr>
          <w:rFonts w:eastAsia="仿宋_GB2312"/>
          <w:sz w:val="32"/>
          <w:szCs w:val="32"/>
        </w:rPr>
      </w:pPr>
      <w:r>
        <w:rPr>
          <w:rFonts w:eastAsia="黑体"/>
          <w:sz w:val="32"/>
          <w:szCs w:val="32"/>
        </w:rPr>
        <w:t>第十八条</w:t>
      </w:r>
      <w:r>
        <w:rPr>
          <w:rFonts w:eastAsia="仿宋_GB2312"/>
          <w:sz w:val="32"/>
          <w:szCs w:val="32"/>
        </w:rPr>
        <w:t xml:space="preserve">  拓展性临床试验的主要研究者应当具有高级职称，参加过3个以上医疗器械临床试验。</w:t>
      </w:r>
    </w:p>
    <w:p>
      <w:pPr>
        <w:overflowPunct w:val="0"/>
        <w:spacing w:line="560" w:lineRule="exact"/>
        <w:ind w:firstLine="640" w:firstLineChars="200"/>
        <w:rPr>
          <w:rFonts w:eastAsia="仿宋_GB2312"/>
          <w:sz w:val="32"/>
          <w:szCs w:val="32"/>
        </w:rPr>
      </w:pPr>
      <w:r>
        <w:rPr>
          <w:rFonts w:eastAsia="黑体"/>
          <w:sz w:val="32"/>
          <w:szCs w:val="32"/>
        </w:rPr>
        <w:t>第十九条</w:t>
      </w:r>
      <w:r>
        <w:rPr>
          <w:rFonts w:eastAsia="仿宋_GB2312"/>
          <w:sz w:val="32"/>
          <w:szCs w:val="32"/>
        </w:rPr>
        <w:t xml:space="preserve">  申办者应当会同研究者按照上述要求形成评估资料，供伦理审查使用。伦理委员会应当严格审议医疗器械拓展性临床试验方案及相关文件，确保该试验符合《医疗器械临床试验质量管理规范》和本规定的相应要求。</w:t>
      </w:r>
      <w:bookmarkEnd w:id="8"/>
      <w:bookmarkEnd w:id="9"/>
    </w:p>
    <w:p>
      <w:pPr>
        <w:overflowPunct w:val="0"/>
        <w:spacing w:line="560" w:lineRule="exact"/>
        <w:ind w:firstLine="640" w:firstLineChars="200"/>
        <w:rPr>
          <w:rFonts w:eastAsia="仿宋_GB2312"/>
          <w:sz w:val="32"/>
          <w:szCs w:val="32"/>
        </w:rPr>
      </w:pPr>
    </w:p>
    <w:p>
      <w:pPr>
        <w:overflowPunct w:val="0"/>
        <w:spacing w:line="560" w:lineRule="exact"/>
        <w:jc w:val="center"/>
        <w:rPr>
          <w:rFonts w:eastAsia="方正小标宋简体"/>
          <w:sz w:val="32"/>
          <w:szCs w:val="32"/>
        </w:rPr>
      </w:pPr>
      <w:r>
        <w:rPr>
          <w:rFonts w:eastAsia="方正小标宋简体"/>
          <w:sz w:val="32"/>
          <w:szCs w:val="32"/>
        </w:rPr>
        <w:t>第四章  过程管理</w:t>
      </w:r>
    </w:p>
    <w:p>
      <w:pPr>
        <w:overflowPunct w:val="0"/>
        <w:spacing w:line="560" w:lineRule="exact"/>
        <w:ind w:firstLine="640" w:firstLineChars="200"/>
        <w:rPr>
          <w:rFonts w:eastAsia="仿宋_GB2312"/>
          <w:sz w:val="32"/>
          <w:szCs w:val="32"/>
        </w:rPr>
      </w:pPr>
      <w:r>
        <w:rPr>
          <w:rFonts w:eastAsia="黑体"/>
          <w:sz w:val="32"/>
          <w:szCs w:val="32"/>
        </w:rPr>
        <w:t>第二十条</w:t>
      </w:r>
      <w:r>
        <w:rPr>
          <w:rFonts w:eastAsia="仿宋_GB2312"/>
          <w:sz w:val="32"/>
          <w:szCs w:val="32"/>
        </w:rPr>
        <w:t xml:space="preserve">  申办者应当对医疗器械临床试验机构内开展的医疗器械拓展性临床试验实施监查和核查，并会同研究者定期进行安全性和疗效评价，必要时可暂停或者终止该试验。</w:t>
      </w:r>
    </w:p>
    <w:p>
      <w:pPr>
        <w:overflowPunct w:val="0"/>
        <w:spacing w:line="560" w:lineRule="exact"/>
        <w:ind w:firstLine="640" w:firstLineChars="200"/>
        <w:rPr>
          <w:rFonts w:eastAsia="仿宋_GB2312"/>
          <w:sz w:val="32"/>
          <w:szCs w:val="32"/>
        </w:rPr>
      </w:pPr>
      <w:r>
        <w:rPr>
          <w:rFonts w:eastAsia="黑体"/>
          <w:sz w:val="32"/>
          <w:szCs w:val="32"/>
        </w:rPr>
        <w:t>第二十一条</w:t>
      </w:r>
      <w:r>
        <w:rPr>
          <w:rFonts w:eastAsia="仿宋_GB2312"/>
          <w:sz w:val="32"/>
          <w:szCs w:val="32"/>
        </w:rPr>
        <w:t xml:space="preserve">  申办者应当每年一次向所在地省、自治区、直辖市药品监督管理部门递交进展报告，直至递交境内注册申请并经相应药品监督管理部门完成审评审批。临床试验试验机构应当每年一次向所在地卫生健康主管部门递交进展报告，直至拓展性临床试验结束或者终止。每次报告日期以医疗器械拓展性临床试验首次备案日期为准计算。进展报告至少应当包括试验用医疗器械申请境内注册进展简介、受试者样本量、适应症、随访情况、医疗器械拓展性临床试验获得的初步、阶段性、全部安全和有效性数据概要。药品监管部门可进行现场检查。</w:t>
      </w:r>
    </w:p>
    <w:p>
      <w:pPr>
        <w:overflowPunct w:val="0"/>
        <w:spacing w:line="560" w:lineRule="exact"/>
        <w:ind w:firstLine="640" w:firstLineChars="200"/>
        <w:rPr>
          <w:rFonts w:eastAsia="仿宋_GB2312"/>
          <w:sz w:val="32"/>
          <w:szCs w:val="32"/>
        </w:rPr>
      </w:pPr>
      <w:r>
        <w:rPr>
          <w:rFonts w:eastAsia="黑体"/>
          <w:sz w:val="32"/>
          <w:szCs w:val="32"/>
        </w:rPr>
        <w:t>第二十二条</w:t>
      </w:r>
      <w:r>
        <w:rPr>
          <w:rFonts w:eastAsia="仿宋_GB2312"/>
          <w:sz w:val="32"/>
          <w:szCs w:val="32"/>
        </w:rPr>
        <w:t xml:space="preserve">  医疗器械拓展性临床试验过程中出现以下情形之一的，研究者、申办者应当暂停或者终止医疗器械拓展性临床试验，并及时报告临床试验机构医疗器械临床试验管理部门：</w:t>
      </w:r>
    </w:p>
    <w:p>
      <w:pPr>
        <w:overflowPunct w:val="0"/>
        <w:spacing w:line="560" w:lineRule="exact"/>
        <w:ind w:firstLine="640" w:firstLineChars="200"/>
        <w:rPr>
          <w:rFonts w:eastAsia="仿宋_GB2312"/>
          <w:sz w:val="32"/>
          <w:szCs w:val="32"/>
        </w:rPr>
      </w:pPr>
      <w:r>
        <w:rPr>
          <w:rFonts w:eastAsia="仿宋_GB2312"/>
          <w:sz w:val="32"/>
          <w:szCs w:val="32"/>
        </w:rPr>
        <w:t>（一）出现与试验医疗器械可能有关的严重不良事件；</w:t>
      </w:r>
    </w:p>
    <w:p>
      <w:pPr>
        <w:overflowPunct w:val="0"/>
        <w:spacing w:line="560" w:lineRule="exact"/>
        <w:ind w:firstLine="640" w:firstLineChars="200"/>
        <w:rPr>
          <w:rFonts w:eastAsia="仿宋_GB2312"/>
          <w:sz w:val="32"/>
          <w:szCs w:val="32"/>
        </w:rPr>
      </w:pPr>
      <w:r>
        <w:rPr>
          <w:rFonts w:eastAsia="仿宋_GB2312"/>
          <w:sz w:val="32"/>
          <w:szCs w:val="32"/>
        </w:rPr>
        <w:t>（二）试验过程中发现试验用医疗器械可能存在严重质量缺陷；</w:t>
      </w:r>
    </w:p>
    <w:p>
      <w:pPr>
        <w:overflowPunct w:val="0"/>
        <w:spacing w:line="560" w:lineRule="exact"/>
        <w:ind w:firstLine="640" w:firstLineChars="200"/>
        <w:rPr>
          <w:rFonts w:eastAsia="仿宋_GB2312"/>
          <w:sz w:val="32"/>
          <w:szCs w:val="32"/>
        </w:rPr>
      </w:pPr>
      <w:r>
        <w:rPr>
          <w:rFonts w:eastAsia="仿宋_GB2312"/>
          <w:sz w:val="32"/>
          <w:szCs w:val="32"/>
        </w:rPr>
        <w:t>（三）应当暂停或者终止医疗器械拓展性临床试验的其他情形。</w:t>
      </w:r>
    </w:p>
    <w:p>
      <w:pPr>
        <w:overflowPunct w:val="0"/>
        <w:spacing w:line="560" w:lineRule="exact"/>
        <w:ind w:firstLine="640" w:firstLineChars="200"/>
        <w:rPr>
          <w:rFonts w:eastAsia="仿宋_GB2312"/>
          <w:sz w:val="32"/>
          <w:szCs w:val="32"/>
        </w:rPr>
      </w:pPr>
      <w:r>
        <w:rPr>
          <w:rFonts w:eastAsia="黑体"/>
          <w:sz w:val="32"/>
          <w:szCs w:val="32"/>
        </w:rPr>
        <w:t>第二十三条</w:t>
      </w:r>
      <w:r>
        <w:rPr>
          <w:rFonts w:eastAsia="仿宋_GB2312"/>
          <w:sz w:val="32"/>
          <w:szCs w:val="32"/>
        </w:rPr>
        <w:t xml:space="preserve">  被暂停的医疗器械拓展性临床试验，未经伦理委员会同意，不得恢复。</w:t>
      </w:r>
    </w:p>
    <w:p>
      <w:pPr>
        <w:overflowPunct w:val="0"/>
        <w:spacing w:line="560" w:lineRule="exact"/>
        <w:ind w:firstLine="640" w:firstLineChars="200"/>
        <w:rPr>
          <w:rFonts w:eastAsia="仿宋_GB2312"/>
          <w:sz w:val="32"/>
          <w:szCs w:val="32"/>
        </w:rPr>
      </w:pPr>
      <w:r>
        <w:rPr>
          <w:rFonts w:eastAsia="黑体"/>
          <w:sz w:val="32"/>
          <w:szCs w:val="32"/>
        </w:rPr>
        <w:t>第二十四条</w:t>
      </w:r>
      <w:r>
        <w:rPr>
          <w:rFonts w:eastAsia="仿宋_GB2312"/>
          <w:sz w:val="32"/>
          <w:szCs w:val="32"/>
        </w:rPr>
        <w:t xml:space="preserve">  医疗器械拓展性临床试验过程中出现以下情形之一的，伦理委员会应当终止拓展性临床试验：</w:t>
      </w:r>
    </w:p>
    <w:p>
      <w:pPr>
        <w:overflowPunct w:val="0"/>
        <w:spacing w:line="560" w:lineRule="exact"/>
        <w:ind w:firstLine="640" w:firstLineChars="200"/>
        <w:rPr>
          <w:rFonts w:eastAsia="仿宋_GB2312"/>
          <w:sz w:val="32"/>
          <w:szCs w:val="32"/>
        </w:rPr>
      </w:pPr>
      <w:r>
        <w:rPr>
          <w:rFonts w:eastAsia="仿宋_GB2312"/>
          <w:sz w:val="32"/>
          <w:szCs w:val="32"/>
        </w:rPr>
        <w:t>（一）受试者权益不能得到保障；</w:t>
      </w:r>
    </w:p>
    <w:p>
      <w:pPr>
        <w:overflowPunct w:val="0"/>
        <w:spacing w:line="540" w:lineRule="exact"/>
        <w:ind w:firstLine="640" w:firstLineChars="200"/>
        <w:rPr>
          <w:rFonts w:eastAsia="仿宋_GB2312"/>
          <w:sz w:val="32"/>
          <w:szCs w:val="32"/>
        </w:rPr>
      </w:pPr>
      <w:r>
        <w:rPr>
          <w:rFonts w:eastAsia="仿宋_GB2312"/>
          <w:sz w:val="32"/>
          <w:szCs w:val="32"/>
        </w:rPr>
        <w:t>（二）申办者连续两次未及时向所在地省、自治区、直辖市药品监督管理部门递交医疗器械拓展性临床试验的进展报告；进行拓展性临床试验的医疗机构连续两次未及时向卫生健康主管部门递交进展报告；</w:t>
      </w:r>
    </w:p>
    <w:p>
      <w:pPr>
        <w:overflowPunct w:val="0"/>
        <w:spacing w:line="540" w:lineRule="exact"/>
        <w:ind w:firstLine="640" w:firstLineChars="200"/>
        <w:rPr>
          <w:rFonts w:eastAsia="仿宋_GB2312"/>
          <w:sz w:val="32"/>
          <w:szCs w:val="32"/>
        </w:rPr>
      </w:pPr>
      <w:r>
        <w:rPr>
          <w:rFonts w:eastAsia="仿宋_GB2312"/>
          <w:sz w:val="32"/>
          <w:szCs w:val="32"/>
        </w:rPr>
        <w:t>（三）医疗器械拓展性临床试验的申办者没有尽责申请境内上市；</w:t>
      </w:r>
    </w:p>
    <w:p>
      <w:pPr>
        <w:overflowPunct w:val="0"/>
        <w:spacing w:line="540" w:lineRule="exact"/>
        <w:ind w:firstLine="640" w:firstLineChars="200"/>
        <w:rPr>
          <w:rFonts w:eastAsia="仿宋_GB2312"/>
          <w:sz w:val="32"/>
          <w:szCs w:val="32"/>
        </w:rPr>
      </w:pPr>
      <w:r>
        <w:rPr>
          <w:rFonts w:eastAsia="仿宋_GB2312"/>
          <w:sz w:val="32"/>
          <w:szCs w:val="32"/>
        </w:rPr>
        <w:t>（四）与注册相关的正在进行的临床试验已被终止；</w:t>
      </w:r>
    </w:p>
    <w:p>
      <w:pPr>
        <w:overflowPunct w:val="0"/>
        <w:spacing w:line="540" w:lineRule="exact"/>
        <w:ind w:firstLine="640" w:firstLineChars="200"/>
        <w:rPr>
          <w:rFonts w:eastAsia="仿宋_GB2312"/>
          <w:sz w:val="32"/>
          <w:szCs w:val="32"/>
        </w:rPr>
      </w:pPr>
      <w:r>
        <w:rPr>
          <w:rFonts w:eastAsia="仿宋_GB2312"/>
          <w:sz w:val="32"/>
          <w:szCs w:val="32"/>
        </w:rPr>
        <w:t>（五）原有临床试验方案有较大调整，但未对相应医疗器械拓展性临床试验方案进行重新评估；</w:t>
      </w:r>
    </w:p>
    <w:p>
      <w:pPr>
        <w:overflowPunct w:val="0"/>
        <w:spacing w:line="540" w:lineRule="exact"/>
        <w:ind w:firstLine="640" w:firstLineChars="200"/>
        <w:rPr>
          <w:rFonts w:eastAsia="仿宋_GB2312"/>
          <w:sz w:val="32"/>
          <w:szCs w:val="32"/>
        </w:rPr>
      </w:pPr>
      <w:r>
        <w:rPr>
          <w:rFonts w:eastAsia="仿宋_GB2312"/>
          <w:sz w:val="32"/>
          <w:szCs w:val="32"/>
        </w:rPr>
        <w:t>（六）最新研究显示医疗器械拓展性临床试验存在伦理性或科学性问题。</w:t>
      </w:r>
    </w:p>
    <w:p>
      <w:pPr>
        <w:overflowPunct w:val="0"/>
        <w:spacing w:line="540" w:lineRule="exact"/>
        <w:ind w:firstLine="640" w:firstLineChars="200"/>
        <w:rPr>
          <w:rFonts w:eastAsia="仿宋_GB2312"/>
          <w:sz w:val="32"/>
          <w:szCs w:val="32"/>
        </w:rPr>
      </w:pPr>
      <w:r>
        <w:rPr>
          <w:rFonts w:eastAsia="黑体"/>
          <w:sz w:val="32"/>
          <w:szCs w:val="32"/>
        </w:rPr>
        <w:t>第二十五条</w:t>
      </w:r>
      <w:r>
        <w:rPr>
          <w:rFonts w:eastAsia="仿宋_GB2312"/>
          <w:sz w:val="32"/>
          <w:szCs w:val="32"/>
        </w:rPr>
        <w:t xml:space="preserve">  医疗器械拓展性临床试验开展过程中出现以下情形之一的，临床试验自动终止。申办方、研究者、伦理委员会均应当及时启动终止程序，并报告临床试验机构医疗器械临床试验管理部门：</w:t>
      </w:r>
    </w:p>
    <w:p>
      <w:pPr>
        <w:overflowPunct w:val="0"/>
        <w:spacing w:line="540" w:lineRule="exact"/>
        <w:ind w:firstLine="640" w:firstLineChars="200"/>
        <w:rPr>
          <w:rFonts w:eastAsia="仿宋_GB2312"/>
          <w:sz w:val="32"/>
          <w:szCs w:val="32"/>
        </w:rPr>
      </w:pPr>
      <w:r>
        <w:rPr>
          <w:rFonts w:eastAsia="仿宋_GB2312"/>
          <w:sz w:val="32"/>
          <w:szCs w:val="32"/>
        </w:rPr>
        <w:t>（一）试验用医疗器械或者与其相似的医疗器械已经在中国境内获准上市；</w:t>
      </w:r>
    </w:p>
    <w:p>
      <w:pPr>
        <w:overflowPunct w:val="0"/>
        <w:spacing w:line="540" w:lineRule="exact"/>
        <w:ind w:firstLine="640" w:firstLineChars="200"/>
        <w:rPr>
          <w:rFonts w:eastAsia="仿宋_GB2312"/>
          <w:sz w:val="32"/>
          <w:szCs w:val="32"/>
        </w:rPr>
      </w:pPr>
      <w:r>
        <w:rPr>
          <w:rFonts w:eastAsia="仿宋_GB2312"/>
          <w:sz w:val="32"/>
          <w:szCs w:val="32"/>
        </w:rPr>
        <w:t>（二）与试验用医疗器械安全有效性相当的治疗方法已在临床得到使用；</w:t>
      </w:r>
    </w:p>
    <w:p>
      <w:pPr>
        <w:overflowPunct w:val="0"/>
        <w:spacing w:line="540" w:lineRule="exact"/>
        <w:ind w:firstLine="640" w:firstLineChars="200"/>
        <w:rPr>
          <w:rFonts w:eastAsia="仿宋_GB2312"/>
          <w:sz w:val="32"/>
          <w:szCs w:val="32"/>
        </w:rPr>
      </w:pPr>
      <w:r>
        <w:rPr>
          <w:rFonts w:eastAsia="仿宋_GB2312"/>
          <w:sz w:val="32"/>
          <w:szCs w:val="32"/>
        </w:rPr>
        <w:t>（三）试验用医疗器械申请医疗器械注册，未获得批准；</w:t>
      </w:r>
    </w:p>
    <w:p>
      <w:pPr>
        <w:overflowPunct w:val="0"/>
        <w:spacing w:line="540" w:lineRule="exact"/>
        <w:ind w:firstLine="640" w:firstLineChars="200"/>
        <w:rPr>
          <w:rFonts w:eastAsia="仿宋_GB2312"/>
          <w:sz w:val="32"/>
          <w:szCs w:val="32"/>
        </w:rPr>
      </w:pPr>
      <w:r>
        <w:rPr>
          <w:rFonts w:eastAsia="仿宋_GB2312"/>
          <w:sz w:val="32"/>
          <w:szCs w:val="32"/>
        </w:rPr>
        <w:t>（四）存在违反本管理规定的情形。</w:t>
      </w:r>
    </w:p>
    <w:p>
      <w:pPr>
        <w:overflowPunct w:val="0"/>
        <w:spacing w:line="540" w:lineRule="exact"/>
        <w:ind w:firstLine="640" w:firstLineChars="200"/>
        <w:rPr>
          <w:rFonts w:eastAsia="仿宋_GB2312"/>
          <w:sz w:val="32"/>
          <w:szCs w:val="32"/>
        </w:rPr>
      </w:pPr>
    </w:p>
    <w:p>
      <w:pPr>
        <w:overflowPunct w:val="0"/>
        <w:spacing w:line="560" w:lineRule="exact"/>
        <w:jc w:val="center"/>
        <w:rPr>
          <w:rFonts w:eastAsia="方正小标宋简体"/>
          <w:sz w:val="32"/>
          <w:szCs w:val="32"/>
        </w:rPr>
      </w:pPr>
      <w:r>
        <w:rPr>
          <w:rFonts w:eastAsia="方正小标宋简体"/>
          <w:sz w:val="32"/>
          <w:szCs w:val="32"/>
        </w:rPr>
        <w:t>第五章  数据收集</w:t>
      </w:r>
    </w:p>
    <w:p>
      <w:pPr>
        <w:overflowPunct w:val="0"/>
        <w:spacing w:line="540" w:lineRule="exact"/>
        <w:ind w:firstLine="640" w:firstLineChars="200"/>
        <w:rPr>
          <w:rFonts w:eastAsia="仿宋_GB2312"/>
          <w:sz w:val="32"/>
          <w:szCs w:val="32"/>
        </w:rPr>
      </w:pPr>
      <w:r>
        <w:rPr>
          <w:rFonts w:eastAsia="黑体"/>
          <w:sz w:val="32"/>
          <w:szCs w:val="32"/>
        </w:rPr>
        <w:t>第二十六条</w:t>
      </w:r>
      <w:r>
        <w:rPr>
          <w:rFonts w:eastAsia="仿宋_GB2312"/>
          <w:sz w:val="32"/>
          <w:szCs w:val="32"/>
        </w:rPr>
        <w:t xml:space="preserve">  医疗器械拓展性临床试验数据的收集和提交应当合法、真实、完整、准确和可追溯。</w:t>
      </w:r>
    </w:p>
    <w:p>
      <w:pPr>
        <w:overflowPunct w:val="0"/>
        <w:spacing w:line="560" w:lineRule="exact"/>
        <w:ind w:firstLine="640" w:firstLineChars="200"/>
        <w:rPr>
          <w:rFonts w:eastAsia="仿宋_GB2312"/>
          <w:sz w:val="32"/>
          <w:szCs w:val="32"/>
        </w:rPr>
      </w:pPr>
      <w:r>
        <w:rPr>
          <w:rFonts w:eastAsia="黑体"/>
          <w:sz w:val="32"/>
          <w:szCs w:val="32"/>
        </w:rPr>
        <w:t>第二十七条</w:t>
      </w:r>
      <w:r>
        <w:rPr>
          <w:rFonts w:eastAsia="仿宋_GB2312"/>
          <w:sz w:val="32"/>
          <w:szCs w:val="32"/>
        </w:rPr>
        <w:t xml:space="preserve">  医疗器械拓展性临床试验数据的分析评价主要关注安全性数据，在此基础上可兼顾有效性数据，以对拟注册产品进行全面评价。</w:t>
      </w:r>
    </w:p>
    <w:p>
      <w:pPr>
        <w:overflowPunct w:val="0"/>
        <w:spacing w:line="560" w:lineRule="exact"/>
        <w:ind w:firstLine="640" w:firstLineChars="200"/>
        <w:rPr>
          <w:rFonts w:eastAsia="仿宋_GB2312"/>
          <w:sz w:val="32"/>
          <w:szCs w:val="32"/>
        </w:rPr>
      </w:pPr>
      <w:r>
        <w:rPr>
          <w:rFonts w:eastAsia="黑体"/>
          <w:sz w:val="32"/>
          <w:szCs w:val="32"/>
        </w:rPr>
        <w:t>第二十八条</w:t>
      </w:r>
      <w:r>
        <w:rPr>
          <w:rFonts w:eastAsia="仿宋_GB2312"/>
          <w:sz w:val="32"/>
          <w:szCs w:val="32"/>
        </w:rPr>
        <w:t xml:space="preserve">  医疗器械拓展性临床试验安全性数据的评价，主要关注使用试验用医疗器械时出现的不良事件及其发生率、持续时间、严重程度以及受试者的可接受程度，以评价试验用医疗器械的预期风险。</w:t>
      </w:r>
    </w:p>
    <w:p>
      <w:pPr>
        <w:overflowPunct w:val="0"/>
        <w:spacing w:line="560" w:lineRule="exact"/>
        <w:ind w:firstLine="640" w:firstLineChars="200"/>
        <w:rPr>
          <w:rFonts w:eastAsia="仿宋_GB2312"/>
          <w:sz w:val="32"/>
          <w:szCs w:val="32"/>
        </w:rPr>
      </w:pPr>
      <w:r>
        <w:rPr>
          <w:rFonts w:eastAsia="黑体"/>
          <w:sz w:val="32"/>
          <w:szCs w:val="32"/>
        </w:rPr>
        <w:t>第二十九条</w:t>
      </w:r>
      <w:r>
        <w:rPr>
          <w:rFonts w:eastAsia="仿宋_GB2312"/>
          <w:sz w:val="32"/>
          <w:szCs w:val="32"/>
        </w:rPr>
        <w:t xml:space="preserve">  申请医疗器械注册时，可以提交医疗器械拓展性临床试验方案、医疗器械拓展性临床试验数据，并对数据进行分析评价，形成分析评价报告。</w:t>
      </w:r>
    </w:p>
    <w:p>
      <w:pPr>
        <w:overflowPunct w:val="0"/>
        <w:spacing w:line="560" w:lineRule="exact"/>
        <w:ind w:firstLine="640" w:firstLineChars="200"/>
        <w:rPr>
          <w:rFonts w:eastAsia="仿宋_GB2312"/>
          <w:sz w:val="32"/>
          <w:szCs w:val="32"/>
        </w:rPr>
      </w:pPr>
    </w:p>
    <w:p>
      <w:pPr>
        <w:overflowPunct w:val="0"/>
        <w:spacing w:line="560" w:lineRule="exact"/>
        <w:jc w:val="center"/>
        <w:rPr>
          <w:rFonts w:eastAsia="方正小标宋简体"/>
          <w:sz w:val="32"/>
          <w:szCs w:val="32"/>
        </w:rPr>
      </w:pPr>
      <w:r>
        <w:rPr>
          <w:rFonts w:eastAsia="方正小标宋简体"/>
          <w:sz w:val="32"/>
          <w:szCs w:val="32"/>
        </w:rPr>
        <w:t>第六章  附  则</w:t>
      </w:r>
    </w:p>
    <w:p>
      <w:pPr>
        <w:overflowPunct w:val="0"/>
        <w:spacing w:line="560" w:lineRule="exact"/>
        <w:ind w:firstLine="640" w:firstLineChars="200"/>
        <w:rPr>
          <w:rFonts w:eastAsia="仿宋_GB2312"/>
          <w:sz w:val="32"/>
          <w:szCs w:val="32"/>
        </w:rPr>
      </w:pPr>
      <w:r>
        <w:rPr>
          <w:rFonts w:eastAsia="黑体"/>
          <w:sz w:val="32"/>
          <w:szCs w:val="32"/>
        </w:rPr>
        <w:t>第三十条</w:t>
      </w:r>
      <w:r>
        <w:rPr>
          <w:rFonts w:eastAsia="仿宋_GB2312"/>
          <w:sz w:val="32"/>
          <w:szCs w:val="32"/>
        </w:rPr>
        <w:t xml:space="preserve">  本规定由国家药品监督管理局和国家卫生健康委员会负责解释。</w:t>
      </w:r>
    </w:p>
    <w:p>
      <w:pPr>
        <w:overflowPunct w:val="0"/>
        <w:spacing w:line="560" w:lineRule="exact"/>
        <w:ind w:firstLine="640" w:firstLineChars="200"/>
        <w:rPr>
          <w:rFonts w:eastAsia="仿宋_GB2312"/>
          <w:sz w:val="28"/>
          <w:szCs w:val="28"/>
        </w:rPr>
      </w:pPr>
      <w:r>
        <w:rPr>
          <w:rFonts w:eastAsia="黑体"/>
          <w:sz w:val="32"/>
          <w:szCs w:val="32"/>
        </w:rPr>
        <w:t>第三十一条</w:t>
      </w:r>
      <w:r>
        <w:rPr>
          <w:rFonts w:eastAsia="仿宋_GB2312"/>
          <w:sz w:val="32"/>
          <w:szCs w:val="32"/>
        </w:rPr>
        <w:t xml:space="preserve">  本规定自发布之日起施行</w:t>
      </w:r>
    </w:p>
    <w:p/>
    <w:sectPr>
      <w:footerReference r:id="rId3" w:type="default"/>
      <w:footerReference r:id="rId4" w:type="even"/>
      <w:pgSz w:w="11906" w:h="16838"/>
      <w:pgMar w:top="1928" w:right="1531" w:bottom="1814" w:left="1531" w:header="851" w:footer="1247"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DB"/>
    <w:rsid w:val="00004602"/>
    <w:rsid w:val="00005EA3"/>
    <w:rsid w:val="00067B6D"/>
    <w:rsid w:val="00075FF5"/>
    <w:rsid w:val="00080804"/>
    <w:rsid w:val="00091F36"/>
    <w:rsid w:val="000D042C"/>
    <w:rsid w:val="000E3076"/>
    <w:rsid w:val="000F5226"/>
    <w:rsid w:val="00127806"/>
    <w:rsid w:val="00150EFD"/>
    <w:rsid w:val="0016397B"/>
    <w:rsid w:val="001C7EA2"/>
    <w:rsid w:val="001D1E59"/>
    <w:rsid w:val="001E4C5F"/>
    <w:rsid w:val="00221EBD"/>
    <w:rsid w:val="002420E0"/>
    <w:rsid w:val="00266D64"/>
    <w:rsid w:val="002B428F"/>
    <w:rsid w:val="003034AB"/>
    <w:rsid w:val="00332FE4"/>
    <w:rsid w:val="003570A5"/>
    <w:rsid w:val="00365694"/>
    <w:rsid w:val="00380C84"/>
    <w:rsid w:val="003D3271"/>
    <w:rsid w:val="00444806"/>
    <w:rsid w:val="00445D7F"/>
    <w:rsid w:val="00455ACE"/>
    <w:rsid w:val="004601DE"/>
    <w:rsid w:val="00480755"/>
    <w:rsid w:val="004A3B5D"/>
    <w:rsid w:val="004B24F8"/>
    <w:rsid w:val="004D76BB"/>
    <w:rsid w:val="0050059E"/>
    <w:rsid w:val="00507707"/>
    <w:rsid w:val="0055417C"/>
    <w:rsid w:val="006100E7"/>
    <w:rsid w:val="0061599B"/>
    <w:rsid w:val="00630B79"/>
    <w:rsid w:val="006371BA"/>
    <w:rsid w:val="00671F19"/>
    <w:rsid w:val="006926B3"/>
    <w:rsid w:val="00694C58"/>
    <w:rsid w:val="006D1C39"/>
    <w:rsid w:val="006E6D70"/>
    <w:rsid w:val="007149E9"/>
    <w:rsid w:val="007A0FE3"/>
    <w:rsid w:val="00825051"/>
    <w:rsid w:val="008506DB"/>
    <w:rsid w:val="00876F8B"/>
    <w:rsid w:val="008E62F4"/>
    <w:rsid w:val="008E7584"/>
    <w:rsid w:val="00931E84"/>
    <w:rsid w:val="0093369F"/>
    <w:rsid w:val="00971B35"/>
    <w:rsid w:val="009A25A5"/>
    <w:rsid w:val="009D63E7"/>
    <w:rsid w:val="00A11E33"/>
    <w:rsid w:val="00A133DD"/>
    <w:rsid w:val="00A66091"/>
    <w:rsid w:val="00A932FA"/>
    <w:rsid w:val="00B15C82"/>
    <w:rsid w:val="00B16CC9"/>
    <w:rsid w:val="00B23D5B"/>
    <w:rsid w:val="00B56158"/>
    <w:rsid w:val="00BA26D1"/>
    <w:rsid w:val="00BB5AEE"/>
    <w:rsid w:val="00BE27A0"/>
    <w:rsid w:val="00C1498C"/>
    <w:rsid w:val="00C638F4"/>
    <w:rsid w:val="00CB6AE0"/>
    <w:rsid w:val="00CC4A6F"/>
    <w:rsid w:val="00D04A8D"/>
    <w:rsid w:val="00D10A82"/>
    <w:rsid w:val="00D10ADB"/>
    <w:rsid w:val="00DA043E"/>
    <w:rsid w:val="00DC28D5"/>
    <w:rsid w:val="00DC7D2A"/>
    <w:rsid w:val="00DD55DE"/>
    <w:rsid w:val="00EA236C"/>
    <w:rsid w:val="00EC185A"/>
    <w:rsid w:val="00F04669"/>
    <w:rsid w:val="00F143EB"/>
    <w:rsid w:val="00F30AAF"/>
    <w:rsid w:val="00F40A33"/>
    <w:rsid w:val="00F7737A"/>
    <w:rsid w:val="00FB5813"/>
    <w:rsid w:val="00FC6F8C"/>
    <w:rsid w:val="70E2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BC01BF6F.dotm</Template>
  <Company>CFDA</Company>
  <Pages>8</Pages>
  <Words>549</Words>
  <Characters>3130</Characters>
  <Lines>26</Lines>
  <Paragraphs>7</Paragraphs>
  <TotalTime>1</TotalTime>
  <ScaleCrop>false</ScaleCrop>
  <LinksUpToDate>false</LinksUpToDate>
  <CharactersWithSpaces>3672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2019-08-28T08:50:00Z</dcterms:created>
  <dc:creator>段然</dc:creator>
  <cp:lastModifiedBy>wxl</cp:lastModifiedBy>
  <cp:lastPrinted>2019-08-27T07:31:00Z</cp:lastPrinted>
  <dcterms:modified xsi:type="dcterms:W3CDTF">2019-08-28T09:36:40Z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