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C3" w:rsidRDefault="00B550C3" w:rsidP="00B550C3">
      <w:pPr>
        <w:pStyle w:val="1"/>
        <w:jc w:val="center"/>
      </w:pPr>
      <w:r>
        <w:rPr>
          <w:rFonts w:hint="eastAsia"/>
        </w:rPr>
        <w:t>医疗器械分类规则</w:t>
      </w:r>
    </w:p>
    <w:p w:rsidR="00B550C3" w:rsidRDefault="00B550C3" w:rsidP="00B550C3"/>
    <w:p w:rsidR="00B550C3" w:rsidRPr="00B550C3" w:rsidRDefault="00B550C3" w:rsidP="00B550C3">
      <w:pPr>
        <w:rPr>
          <w:szCs w:val="21"/>
        </w:rPr>
      </w:pPr>
      <w:r w:rsidRPr="00B550C3">
        <w:rPr>
          <w:rFonts w:hint="eastAsia"/>
          <w:szCs w:val="21"/>
        </w:rPr>
        <w:t xml:space="preserve">　　第一条　为规范医疗器械分类，根据《医疗器械监督管理条例》，制定本规则。</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第二条　本规则用于指导制定医疗器械分类目录和确定新的医疗器械的管理类别。</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第三条　本规则有关用语的含义是：</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（一）预期目的</w:t>
      </w:r>
    </w:p>
    <w:p w:rsidR="00B550C3" w:rsidRPr="00B550C3" w:rsidRDefault="00B550C3" w:rsidP="00B550C3">
      <w:pPr>
        <w:rPr>
          <w:szCs w:val="21"/>
        </w:rPr>
      </w:pPr>
      <w:r w:rsidRPr="00B550C3">
        <w:rPr>
          <w:rFonts w:hint="eastAsia"/>
          <w:szCs w:val="21"/>
        </w:rPr>
        <w:t xml:space="preserve">　　指产品说明书、标签或者宣传资料载明的，使用医疗器械应当取得的作用。</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（二）无源医疗器械</w:t>
      </w:r>
    </w:p>
    <w:p w:rsidR="00B550C3" w:rsidRPr="00B550C3" w:rsidRDefault="00B550C3" w:rsidP="00B550C3">
      <w:pPr>
        <w:rPr>
          <w:szCs w:val="21"/>
        </w:rPr>
      </w:pPr>
      <w:r w:rsidRPr="00B550C3">
        <w:rPr>
          <w:rFonts w:hint="eastAsia"/>
          <w:szCs w:val="21"/>
        </w:rPr>
        <w:t xml:space="preserve">　　不依靠电能或者其他能源，但是可以通过由人体或者重力产生的能量，发挥其功能的医疗器械。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（三）有源医疗器械</w:t>
      </w:r>
    </w:p>
    <w:p w:rsidR="00B550C3" w:rsidRPr="00B550C3" w:rsidRDefault="00B550C3" w:rsidP="00B550C3">
      <w:pPr>
        <w:rPr>
          <w:szCs w:val="21"/>
        </w:rPr>
      </w:pPr>
      <w:r w:rsidRPr="00B550C3">
        <w:rPr>
          <w:rFonts w:hint="eastAsia"/>
          <w:szCs w:val="21"/>
        </w:rPr>
        <w:t xml:space="preserve">　　任何依靠电能或者其他能源，而不是直接由人体或者重力产生的能量，发挥其功能的医疗器械。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（四）侵入器械</w:t>
      </w:r>
    </w:p>
    <w:p w:rsidR="00B550C3" w:rsidRPr="00B550C3" w:rsidRDefault="00B550C3" w:rsidP="00B550C3">
      <w:pPr>
        <w:rPr>
          <w:szCs w:val="21"/>
        </w:rPr>
      </w:pPr>
      <w:r w:rsidRPr="00B550C3">
        <w:rPr>
          <w:rFonts w:hint="eastAsia"/>
          <w:szCs w:val="21"/>
        </w:rPr>
        <w:t xml:space="preserve">　　借助手术全部或者部分通过体表侵入人体，接触体内组织、血液循环系统、中枢神经系统等部位的医疗器械，包括介入手术中使用的器材、一次性使用无菌手术器械和暂时或短期留在人体内的器械等。本规则中的侵入器械不包括重复使用手术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（五）重复使用手术器械</w:t>
      </w:r>
    </w:p>
    <w:p w:rsidR="00B550C3" w:rsidRPr="00B550C3" w:rsidRDefault="00B550C3" w:rsidP="00B550C3">
      <w:pPr>
        <w:rPr>
          <w:szCs w:val="21"/>
        </w:rPr>
      </w:pPr>
      <w:r w:rsidRPr="00B550C3">
        <w:rPr>
          <w:rFonts w:hint="eastAsia"/>
          <w:szCs w:val="21"/>
        </w:rPr>
        <w:t xml:space="preserve">　　用于手术中进行切、割、钻、锯、抓、刮、钳、抽、夹等过程，不连接任何有源医疗器械，通过一定的处理可以重新使用的无源医疗器械。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（六）植入器械</w:t>
      </w:r>
    </w:p>
    <w:p w:rsidR="00B550C3" w:rsidRPr="00B550C3" w:rsidRDefault="00B550C3" w:rsidP="00B550C3">
      <w:pPr>
        <w:rPr>
          <w:szCs w:val="21"/>
        </w:rPr>
      </w:pPr>
      <w:r w:rsidRPr="00B550C3">
        <w:rPr>
          <w:rFonts w:hint="eastAsia"/>
          <w:szCs w:val="21"/>
        </w:rPr>
        <w:t xml:space="preserve">　　借助手术全部或者部分进入人体内或腔道（口）中，或者用于替代人体上皮表面或眼表面，并且在手术过程结束后留在人体内</w:t>
      </w:r>
      <w:r w:rsidRPr="00B550C3">
        <w:rPr>
          <w:szCs w:val="21"/>
        </w:rPr>
        <w:t>30日（含）以上或者被人体吸收的医疗器械。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（七）接触人体器械</w:t>
      </w:r>
    </w:p>
    <w:p w:rsidR="00B550C3" w:rsidRPr="00B550C3" w:rsidRDefault="00B550C3" w:rsidP="00B550C3">
      <w:pPr>
        <w:rPr>
          <w:szCs w:val="21"/>
        </w:rPr>
      </w:pPr>
      <w:r w:rsidRPr="00B550C3">
        <w:rPr>
          <w:rFonts w:hint="eastAsia"/>
          <w:szCs w:val="21"/>
        </w:rPr>
        <w:t xml:space="preserve">　　直接或间接接触患者或者能够进入患者体内的医疗器械。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（八）使用时限</w:t>
      </w:r>
    </w:p>
    <w:p w:rsidR="00B550C3" w:rsidRPr="00B550C3" w:rsidRDefault="00B550C3" w:rsidP="00B550C3">
      <w:pPr>
        <w:rPr>
          <w:szCs w:val="21"/>
        </w:rPr>
      </w:pPr>
      <w:r w:rsidRPr="00B550C3">
        <w:rPr>
          <w:rFonts w:hint="eastAsia"/>
          <w:szCs w:val="21"/>
        </w:rPr>
        <w:t xml:space="preserve">　　</w:t>
      </w:r>
      <w:r w:rsidRPr="00B550C3">
        <w:rPr>
          <w:szCs w:val="21"/>
        </w:rPr>
        <w:t>1.连续使用时间：医疗器械按预期目的、不间断的实际作用时间；</w:t>
      </w:r>
    </w:p>
    <w:p w:rsidR="00B550C3" w:rsidRPr="00B550C3" w:rsidRDefault="00B550C3" w:rsidP="00B550C3">
      <w:pPr>
        <w:rPr>
          <w:szCs w:val="21"/>
        </w:rPr>
      </w:pPr>
      <w:r w:rsidRPr="00B550C3">
        <w:rPr>
          <w:rFonts w:hint="eastAsia"/>
          <w:szCs w:val="21"/>
        </w:rPr>
        <w:t xml:space="preserve">　　</w:t>
      </w:r>
      <w:r w:rsidRPr="00B550C3">
        <w:rPr>
          <w:szCs w:val="21"/>
        </w:rPr>
        <w:t>2.暂时：医疗器械预期的连续使用时间在24小时以内；</w:t>
      </w:r>
    </w:p>
    <w:p w:rsidR="00B550C3" w:rsidRPr="00B550C3" w:rsidRDefault="00B550C3" w:rsidP="00B550C3">
      <w:pPr>
        <w:rPr>
          <w:szCs w:val="21"/>
        </w:rPr>
      </w:pPr>
      <w:r w:rsidRPr="00B550C3">
        <w:rPr>
          <w:rFonts w:hint="eastAsia"/>
          <w:szCs w:val="21"/>
        </w:rPr>
        <w:t xml:space="preserve">　　</w:t>
      </w:r>
      <w:r w:rsidRPr="00B550C3">
        <w:rPr>
          <w:szCs w:val="21"/>
        </w:rPr>
        <w:t>3.短期：医疗器械预期的连续使用时间在24小时（含）以上、30日以内；</w:t>
      </w:r>
    </w:p>
    <w:p w:rsidR="00B550C3" w:rsidRPr="00B550C3" w:rsidRDefault="00B550C3" w:rsidP="00B550C3">
      <w:pPr>
        <w:rPr>
          <w:szCs w:val="21"/>
        </w:rPr>
      </w:pPr>
      <w:r w:rsidRPr="00B550C3">
        <w:rPr>
          <w:rFonts w:hint="eastAsia"/>
          <w:szCs w:val="21"/>
        </w:rPr>
        <w:t xml:space="preserve">　　</w:t>
      </w:r>
      <w:r w:rsidRPr="00B550C3">
        <w:rPr>
          <w:szCs w:val="21"/>
        </w:rPr>
        <w:t>4.长期：医疗器械预期的连续使用时间在30日（含）以上。</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lastRenderedPageBreak/>
        <w:t xml:space="preserve">　　（九）皮肤</w:t>
      </w:r>
    </w:p>
    <w:p w:rsidR="00B550C3" w:rsidRPr="00B550C3" w:rsidRDefault="00B550C3" w:rsidP="00B550C3">
      <w:pPr>
        <w:rPr>
          <w:szCs w:val="21"/>
        </w:rPr>
      </w:pPr>
      <w:r w:rsidRPr="00B550C3">
        <w:rPr>
          <w:rFonts w:hint="eastAsia"/>
          <w:szCs w:val="21"/>
        </w:rPr>
        <w:t xml:space="preserve">　　未受损皮肤表面。</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（十）腔道（口）</w:t>
      </w:r>
    </w:p>
    <w:p w:rsidR="00B550C3" w:rsidRPr="00B550C3" w:rsidRDefault="00B550C3" w:rsidP="00B550C3">
      <w:pPr>
        <w:rPr>
          <w:szCs w:val="21"/>
        </w:rPr>
      </w:pPr>
      <w:r w:rsidRPr="00B550C3">
        <w:rPr>
          <w:rFonts w:hint="eastAsia"/>
          <w:szCs w:val="21"/>
        </w:rPr>
        <w:t xml:space="preserve">　　口腔、鼻腔、食道、外耳道、直肠、阴道、尿道等人体自然腔道和永久性人造开口。</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（十一）创伤</w:t>
      </w:r>
    </w:p>
    <w:p w:rsidR="00B550C3" w:rsidRPr="00B550C3" w:rsidRDefault="00B550C3" w:rsidP="00B550C3">
      <w:pPr>
        <w:rPr>
          <w:szCs w:val="21"/>
        </w:rPr>
      </w:pPr>
      <w:r w:rsidRPr="00B550C3">
        <w:rPr>
          <w:rFonts w:hint="eastAsia"/>
          <w:szCs w:val="21"/>
        </w:rPr>
        <w:t xml:space="preserve">　　各种致伤因素作用于人体所造成的组织结构完整性破坏或者功能障碍。</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（十二）组织</w:t>
      </w:r>
    </w:p>
    <w:p w:rsidR="00B550C3" w:rsidRPr="00B550C3" w:rsidRDefault="00B550C3" w:rsidP="00B550C3">
      <w:pPr>
        <w:rPr>
          <w:szCs w:val="21"/>
        </w:rPr>
      </w:pPr>
      <w:r w:rsidRPr="00B550C3">
        <w:rPr>
          <w:rFonts w:hint="eastAsia"/>
          <w:szCs w:val="21"/>
        </w:rPr>
        <w:t xml:space="preserve">　　人体体内组织，包括骨、牙髓或者牙本质，不包括血液循环系统和中枢神经系统。</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（十三）血液循环系统</w:t>
      </w:r>
    </w:p>
    <w:p w:rsidR="00B550C3" w:rsidRPr="00B550C3" w:rsidRDefault="00B550C3" w:rsidP="00B550C3">
      <w:pPr>
        <w:rPr>
          <w:szCs w:val="21"/>
        </w:rPr>
      </w:pPr>
      <w:r w:rsidRPr="00B550C3">
        <w:rPr>
          <w:rFonts w:hint="eastAsia"/>
          <w:szCs w:val="21"/>
        </w:rPr>
        <w:t xml:space="preserve">　　血管（毛细血管除外）和心脏。</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（十四）中枢神经系统</w:t>
      </w:r>
    </w:p>
    <w:p w:rsidR="00B550C3" w:rsidRPr="00B550C3" w:rsidRDefault="00B550C3" w:rsidP="00B550C3">
      <w:pPr>
        <w:rPr>
          <w:szCs w:val="21"/>
        </w:rPr>
      </w:pPr>
      <w:r w:rsidRPr="00B550C3">
        <w:rPr>
          <w:rFonts w:hint="eastAsia"/>
          <w:szCs w:val="21"/>
        </w:rPr>
        <w:t xml:space="preserve">　　脑和脊髓。</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（十五）独立软件</w:t>
      </w:r>
    </w:p>
    <w:p w:rsidR="00B550C3" w:rsidRPr="00B550C3" w:rsidRDefault="00B550C3" w:rsidP="00B550C3">
      <w:pPr>
        <w:rPr>
          <w:szCs w:val="21"/>
        </w:rPr>
      </w:pPr>
      <w:r w:rsidRPr="00B550C3">
        <w:rPr>
          <w:rFonts w:hint="eastAsia"/>
          <w:szCs w:val="21"/>
        </w:rPr>
        <w:t xml:space="preserve">　　具有一个或者多个医疗目的，无需医疗器械硬件即可完成自身预期目的，运行于通用计算平台的软件。</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（十六）具有计量测试功能的医疗器械</w:t>
      </w:r>
    </w:p>
    <w:p w:rsidR="00B550C3" w:rsidRPr="00B550C3" w:rsidRDefault="00B550C3" w:rsidP="00B550C3">
      <w:pPr>
        <w:rPr>
          <w:szCs w:val="21"/>
        </w:rPr>
      </w:pPr>
      <w:r w:rsidRPr="00B550C3">
        <w:rPr>
          <w:rFonts w:hint="eastAsia"/>
          <w:szCs w:val="21"/>
        </w:rPr>
        <w:t xml:space="preserve">　　用于测定生理、病理、解剖参数，或者定量测定进出人体的能量或物质的医疗器械，其测量结果需要精确定量，并且该结果的准确性会对患者的健康和安全产生明显影响。</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（十七）慢性创面</w:t>
      </w:r>
    </w:p>
    <w:p w:rsidR="00B550C3" w:rsidRPr="00B550C3" w:rsidRDefault="00B550C3" w:rsidP="00B550C3">
      <w:pPr>
        <w:rPr>
          <w:szCs w:val="21"/>
        </w:rPr>
      </w:pPr>
      <w:r w:rsidRPr="00B550C3">
        <w:rPr>
          <w:rFonts w:hint="eastAsia"/>
          <w:szCs w:val="21"/>
        </w:rPr>
        <w:t xml:space="preserve">　　各种原因形成的长期不愈合创面，如静脉性溃疡、动脉性溃疡、糖尿病性溃疡、创伤性溃疡、压力性溃疡等。</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第四条　医疗器械按照风险程度由低到高，管理类别依次分为第一类、第二类和第三类。</w:t>
      </w:r>
    </w:p>
    <w:p w:rsidR="00B550C3" w:rsidRPr="00B550C3" w:rsidRDefault="00B550C3" w:rsidP="00B550C3">
      <w:pPr>
        <w:rPr>
          <w:szCs w:val="21"/>
        </w:rPr>
      </w:pPr>
      <w:r w:rsidRPr="00B550C3">
        <w:rPr>
          <w:rFonts w:hint="eastAsia"/>
          <w:szCs w:val="21"/>
        </w:rPr>
        <w:t xml:space="preserve">　　医疗器械风险程度，应当根据医疗器械的预期目的，通过结构特征、使用形式、使用状态、是否接触人体等因素综合判定。</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第五条　依据影响医疗器械风险程度的因素，医疗器械可以分为以下几种情形：</w:t>
      </w:r>
    </w:p>
    <w:p w:rsidR="00B550C3" w:rsidRPr="00B550C3" w:rsidRDefault="00B550C3" w:rsidP="00B550C3">
      <w:pPr>
        <w:rPr>
          <w:szCs w:val="21"/>
        </w:rPr>
      </w:pPr>
      <w:r w:rsidRPr="00B550C3">
        <w:rPr>
          <w:rFonts w:hint="eastAsia"/>
          <w:szCs w:val="21"/>
        </w:rPr>
        <w:t xml:space="preserve">　　（一）根据结构特征的不同，分为无源医疗器械和有源医疗器械。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（二）根据是否接触人体，分为接触人体器械和非接触人体器械。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（三）根据不同的结构特征和是否接触人体，医疗器械的使用形式包括：</w:t>
      </w:r>
    </w:p>
    <w:p w:rsidR="00B550C3" w:rsidRPr="00B550C3" w:rsidRDefault="00B550C3" w:rsidP="00B550C3">
      <w:pPr>
        <w:rPr>
          <w:szCs w:val="21"/>
        </w:rPr>
      </w:pPr>
      <w:r w:rsidRPr="00B550C3">
        <w:rPr>
          <w:rFonts w:hint="eastAsia"/>
          <w:szCs w:val="21"/>
        </w:rPr>
        <w:t xml:space="preserve">　　无源接触人体器械：液体输送器械、改变血液体液器械、医用敷料、侵入器械、重复使用手术器械、植入器械、避孕和计划生育器械、其他无源接触人体器械。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w:t>
      </w:r>
      <w:proofErr w:type="gramStart"/>
      <w:r w:rsidRPr="00B550C3">
        <w:rPr>
          <w:rFonts w:hint="eastAsia"/>
          <w:szCs w:val="21"/>
        </w:rPr>
        <w:t>无源非</w:t>
      </w:r>
      <w:proofErr w:type="gramEnd"/>
      <w:r w:rsidRPr="00B550C3">
        <w:rPr>
          <w:rFonts w:hint="eastAsia"/>
          <w:szCs w:val="21"/>
        </w:rPr>
        <w:t>接触人体器械：护理器械、医疗器械清洗消毒器械、其他</w:t>
      </w:r>
      <w:proofErr w:type="gramStart"/>
      <w:r w:rsidRPr="00B550C3">
        <w:rPr>
          <w:rFonts w:hint="eastAsia"/>
          <w:szCs w:val="21"/>
        </w:rPr>
        <w:t>无源非</w:t>
      </w:r>
      <w:proofErr w:type="gramEnd"/>
      <w:r w:rsidRPr="00B550C3">
        <w:rPr>
          <w:rFonts w:hint="eastAsia"/>
          <w:szCs w:val="21"/>
        </w:rPr>
        <w:t>接触人体器械。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有源接触人体器械：能量治疗器械、诊断监护器械、液体输送器械、电离辐射器械、植入器械、其他有源接触人体器械。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w:t>
      </w:r>
      <w:proofErr w:type="gramStart"/>
      <w:r w:rsidRPr="00B550C3">
        <w:rPr>
          <w:rFonts w:hint="eastAsia"/>
          <w:szCs w:val="21"/>
        </w:rPr>
        <w:t>有源非</w:t>
      </w:r>
      <w:proofErr w:type="gramEnd"/>
      <w:r w:rsidRPr="00B550C3">
        <w:rPr>
          <w:rFonts w:hint="eastAsia"/>
          <w:szCs w:val="21"/>
        </w:rPr>
        <w:t>接触人体器械：临床检验仪器设备、独立软件、医疗器械消毒灭菌设备、其他</w:t>
      </w:r>
      <w:proofErr w:type="gramStart"/>
      <w:r w:rsidRPr="00B550C3">
        <w:rPr>
          <w:rFonts w:hint="eastAsia"/>
          <w:szCs w:val="21"/>
        </w:rPr>
        <w:t>有源非</w:t>
      </w:r>
      <w:proofErr w:type="gramEnd"/>
      <w:r w:rsidRPr="00B550C3">
        <w:rPr>
          <w:rFonts w:hint="eastAsia"/>
          <w:szCs w:val="21"/>
        </w:rPr>
        <w:t>接触人体器械。</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（四）根据不同的结构特征、是否接触人体以及使用形式，医疗器械的使用状态或者其产生的影响包括以下情形：</w:t>
      </w:r>
    </w:p>
    <w:p w:rsidR="00B550C3" w:rsidRPr="00B550C3" w:rsidRDefault="00B550C3" w:rsidP="00B550C3">
      <w:pPr>
        <w:rPr>
          <w:szCs w:val="21"/>
        </w:rPr>
      </w:pPr>
      <w:r w:rsidRPr="00B550C3">
        <w:rPr>
          <w:rFonts w:hint="eastAsia"/>
          <w:szCs w:val="21"/>
        </w:rPr>
        <w:t xml:space="preserve">　　无源接触人体器械：根据使用时限分为暂时使用、短期使用、长期使用；接触人体的部位分为皮肤或腔道（口）、创伤或组织、血液循环系统或中枢神经系统。</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w:t>
      </w:r>
      <w:proofErr w:type="gramStart"/>
      <w:r w:rsidRPr="00B550C3">
        <w:rPr>
          <w:rFonts w:hint="eastAsia"/>
          <w:szCs w:val="21"/>
        </w:rPr>
        <w:t>无源非</w:t>
      </w:r>
      <w:proofErr w:type="gramEnd"/>
      <w:r w:rsidRPr="00B550C3">
        <w:rPr>
          <w:rFonts w:hint="eastAsia"/>
          <w:szCs w:val="21"/>
        </w:rPr>
        <w:t>接触人体器械：根据对医疗效果的影响程度分为基本不影响、轻微影响、重要影响。</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有源接触人体器械：根据失控后可能造成的损伤程度分为轻微损伤、中度损伤、严重损伤。</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w:t>
      </w:r>
      <w:proofErr w:type="gramStart"/>
      <w:r w:rsidRPr="00B550C3">
        <w:rPr>
          <w:rFonts w:hint="eastAsia"/>
          <w:szCs w:val="21"/>
        </w:rPr>
        <w:t>有源非</w:t>
      </w:r>
      <w:proofErr w:type="gramEnd"/>
      <w:r w:rsidRPr="00B550C3">
        <w:rPr>
          <w:rFonts w:hint="eastAsia"/>
          <w:szCs w:val="21"/>
        </w:rPr>
        <w:t>接触人体器械：根据对医疗效果的影响程度分为基本不影响、轻微影响、重要影响。</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第六条　医疗器械的分类应当根据医疗器械分类判定表（见附件）进行分类判定。有以下情形的，还应当结合下述原则进行分类：</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（一）如果同一医疗器械适用两个或者两个以上的分类，应当采取其中风险程度最高的分类；由多个医疗器械组成的医疗器械包，其分类应当与包内风险程度最高的医疗器械一致。</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（二）可作为附件的医疗器械，其分类应当综合考虑该附件对配套主体医疗器械安全性、有效性的影响；如果附件对配套主体医疗器械有重要影响，附件的分类应不低于配套主体医疗器械的分类。</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（三）监控或者影响医疗器械主要功能的医疗器械，其分类应当与被监控、影响的医疗器械的分类一致。</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（四）以医疗器械作用为主的药械组合产品，按照第三类医疗器械管理。</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（五）可被人体吸收的医疗器械，按照第三类医疗器械管理。</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（六）对医疗效果有重要影响的有源接触人体器械，按照第三类医疗器械管理。</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（七）医用敷料如果有以下情形，按照第三类医疗器械管理，包括：预期具有防组织或器官粘连功能，作为人工皮肤，接触真皮深层或其以下组织受损的创面，用于慢性创面，或者可被人体全部或部分吸收的。</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lastRenderedPageBreak/>
        <w:t xml:space="preserve">　　（八）以无菌形式提供的医疗器械，其分类应不低于第二类。</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九）通过牵拉、撑开、扭转、压握、弯曲等作用方式，主动施加持续作用力于人体、可动态调整肢体固定位置的矫形器械（不包括仅具有固定、支撑作用的医疗器械，也不包括配合外科手术中进行临时矫形的医疗器械或者外科手术后或其他治疗中进行四肢矫形的医疗器械），其分类应不低于第二类。</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（十）具有计量测试功能的医疗器械，其分类应不低于第二类。</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（十一）如果医疗器械的预期目的是明确用于某种疾病的治疗，其分类应不低于第二类。</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（十二）用于在内窥镜下完成夹取、切割组织或者取石等手术操作的无源重复使用手术器械，按照第二类医疗器械管理。</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第七条　体外诊断试剂按照有关规定进行分类。</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第八条　国家食品药品监督管理总局根据医疗器械生产、经营、使用情况，及时对医疗器械的风险变化进行分析、评价，对医疗器械分类目录进行调整。</w:t>
      </w:r>
    </w:p>
    <w:p w:rsidR="00B550C3" w:rsidRPr="00B550C3" w:rsidRDefault="00B550C3" w:rsidP="00B550C3">
      <w:pPr>
        <w:rPr>
          <w:szCs w:val="21"/>
        </w:rPr>
      </w:pPr>
    </w:p>
    <w:p w:rsidR="00B550C3" w:rsidRPr="00B550C3" w:rsidRDefault="00B550C3" w:rsidP="00B550C3">
      <w:pPr>
        <w:rPr>
          <w:szCs w:val="21"/>
        </w:rPr>
      </w:pPr>
      <w:r w:rsidRPr="00B550C3">
        <w:rPr>
          <w:rFonts w:hint="eastAsia"/>
          <w:szCs w:val="21"/>
        </w:rPr>
        <w:t xml:space="preserve">　　第九条　国家食品药品监督管理总局可以组织医疗器械分类专家委员会制定、调整医疗器械分类目录。</w:t>
      </w:r>
    </w:p>
    <w:p w:rsidR="00B550C3" w:rsidRPr="00B550C3" w:rsidRDefault="00B550C3" w:rsidP="00B550C3">
      <w:pPr>
        <w:rPr>
          <w:szCs w:val="21"/>
        </w:rPr>
      </w:pPr>
    </w:p>
    <w:p w:rsidR="004443C8" w:rsidRDefault="00B550C3" w:rsidP="00AD19D5">
      <w:pPr>
        <w:ind w:firstLine="420"/>
        <w:rPr>
          <w:rFonts w:hint="eastAsia"/>
          <w:szCs w:val="21"/>
        </w:rPr>
      </w:pPr>
      <w:r w:rsidRPr="00B550C3">
        <w:rPr>
          <w:rFonts w:hint="eastAsia"/>
          <w:szCs w:val="21"/>
        </w:rPr>
        <w:t>第十条　本规则自</w:t>
      </w:r>
      <w:r w:rsidRPr="00B550C3">
        <w:rPr>
          <w:szCs w:val="21"/>
        </w:rPr>
        <w:t>2016年1月1日起施行。2000年4月5日公布的《医疗器械分类规则》（原国家药品监督管理局令第15号）同时废止。</w:t>
      </w:r>
    </w:p>
    <w:p w:rsidR="00AD19D5" w:rsidRDefault="00AD19D5" w:rsidP="00AD19D5">
      <w:pPr>
        <w:ind w:firstLine="420"/>
        <w:rPr>
          <w:rFonts w:hint="eastAsia"/>
          <w:szCs w:val="21"/>
        </w:rPr>
      </w:pPr>
    </w:p>
    <w:p w:rsidR="00AD19D5" w:rsidRPr="00AD19D5" w:rsidRDefault="00AD19D5" w:rsidP="00AD19D5">
      <w:pPr>
        <w:widowControl/>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27"/>
          <w:szCs w:val="27"/>
        </w:rPr>
        <w:t>医疗器械分类判定表</w:t>
      </w:r>
    </w:p>
    <w:p w:rsidR="00AD19D5" w:rsidRPr="00AD19D5" w:rsidRDefault="00AD19D5" w:rsidP="00AD19D5">
      <w:pPr>
        <w:widowControl/>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666666"/>
          <w:kern w:val="0"/>
          <w:sz w:val="18"/>
          <w:szCs w:val="18"/>
        </w:rPr>
      </w:pPr>
      <w:r w:rsidRPr="00AD19D5">
        <w:rPr>
          <w:rFonts w:ascii="宋体" w:eastAsia="宋体" w:hAnsi="宋体" w:cs="宋体"/>
          <w:color w:val="666666"/>
          <w:kern w:val="0"/>
          <w:sz w:val="18"/>
          <w:szCs w:val="18"/>
        </w:rPr>
        <w:t xml:space="preserve">   </w:t>
      </w:r>
    </w:p>
    <w:tbl>
      <w:tblPr>
        <w:tblW w:w="10125" w:type="dxa"/>
        <w:tblCellSpacing w:w="15" w:type="dxa"/>
        <w:tblBorders>
          <w:top w:val="outset" w:sz="18" w:space="0" w:color="000000"/>
          <w:left w:val="outset" w:sz="18" w:space="0" w:color="000000"/>
          <w:bottom w:val="outset" w:sz="18" w:space="0" w:color="000000"/>
          <w:right w:val="outset" w:sz="18" w:space="0" w:color="000000"/>
        </w:tblBorders>
        <w:tblCellMar>
          <w:top w:w="45" w:type="dxa"/>
          <w:left w:w="45" w:type="dxa"/>
          <w:bottom w:w="45" w:type="dxa"/>
          <w:right w:w="45" w:type="dxa"/>
        </w:tblCellMar>
        <w:tblLook w:val="04A0"/>
      </w:tblPr>
      <w:tblGrid>
        <w:gridCol w:w="354"/>
        <w:gridCol w:w="492"/>
        <w:gridCol w:w="1370"/>
        <w:gridCol w:w="631"/>
        <w:gridCol w:w="615"/>
        <w:gridCol w:w="1047"/>
        <w:gridCol w:w="584"/>
        <w:gridCol w:w="615"/>
        <w:gridCol w:w="1124"/>
        <w:gridCol w:w="569"/>
        <w:gridCol w:w="631"/>
        <w:gridCol w:w="2093"/>
      </w:tblGrid>
      <w:tr w:rsidR="00AD19D5" w:rsidRPr="00AD19D5" w:rsidTr="00AD19D5">
        <w:trPr>
          <w:trHeight w:val="420"/>
          <w:tblCellSpacing w:w="15" w:type="dxa"/>
        </w:trPr>
        <w:tc>
          <w:tcPr>
            <w:tcW w:w="9795" w:type="dxa"/>
            <w:gridSpan w:val="12"/>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接 触 或 进 入 人 体 器 械 A</w:t>
            </w:r>
          </w:p>
        </w:tc>
      </w:tr>
      <w:tr w:rsidR="00AD19D5" w:rsidRPr="00AD19D5" w:rsidTr="00AD19D5">
        <w:trPr>
          <w:trHeight w:val="240"/>
          <w:tblCellSpacing w:w="15" w:type="dxa"/>
        </w:trPr>
        <w:tc>
          <w:tcPr>
            <w:tcW w:w="285" w:type="dxa"/>
            <w:vMerge w:val="restart"/>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无 源 器 械 A</w:t>
            </w:r>
          </w:p>
        </w:tc>
        <w:tc>
          <w:tcPr>
            <w:tcW w:w="178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使用形式</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暂时使用 -1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短期使用 -2</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长期使用 -3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皮肤/腔道</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创伤/组织</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血循环/中枢</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皮肤/腔道</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创伤/组织</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血循环/中枢</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皮肤/腔道</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创伤/组织</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血循环/中枢</w:t>
            </w:r>
          </w:p>
        </w:tc>
      </w:tr>
      <w:tr w:rsidR="00AD19D5" w:rsidRPr="00AD19D5" w:rsidTr="00AD19D5">
        <w:trPr>
          <w:trHeight w:val="255"/>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药液输送保存器械</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55"/>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用于改变血液体液器械</w:t>
            </w:r>
          </w:p>
        </w:tc>
        <w:tc>
          <w:tcPr>
            <w:tcW w:w="5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4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医用敷料</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4</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外科器械(侵入)</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5</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重复使用外科手术器械</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4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6</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一次性无菌外科器械</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7</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植入器械</w:t>
            </w:r>
          </w:p>
        </w:tc>
        <w:tc>
          <w:tcPr>
            <w:tcW w:w="5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4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8</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避孕计生器械</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9</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消毒清洁器械</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10</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其他无源接触器械</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1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360"/>
          <w:tblCellSpacing w:w="15" w:type="dxa"/>
        </w:trPr>
        <w:tc>
          <w:tcPr>
            <w:tcW w:w="285" w:type="dxa"/>
            <w:vMerge w:val="restart"/>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有 源 器 械 B</w:t>
            </w:r>
          </w:p>
        </w:tc>
        <w:tc>
          <w:tcPr>
            <w:tcW w:w="1785" w:type="dxa"/>
            <w:gridSpan w:val="2"/>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使用形式</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轻微损伤 -1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损伤 -2</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严重损伤 -3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能量治疗器械</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诊断监护仪器</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输送体液装置</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4</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电离辐射器械</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55"/>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5</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其他一般有源器械</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r w:rsidR="00AD19D5" w:rsidRPr="00AD19D5" w:rsidTr="00AD19D5">
        <w:trPr>
          <w:trHeight w:val="390"/>
          <w:tblCellSpacing w:w="15" w:type="dxa"/>
        </w:trPr>
        <w:tc>
          <w:tcPr>
            <w:tcW w:w="9795" w:type="dxa"/>
            <w:gridSpan w:val="12"/>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非 接 触 人 体 器 械 B</w:t>
            </w:r>
          </w:p>
        </w:tc>
      </w:tr>
      <w:tr w:rsidR="00AD19D5" w:rsidRPr="00AD19D5" w:rsidTr="00AD19D5">
        <w:trPr>
          <w:trHeight w:val="390"/>
          <w:tblCellSpacing w:w="15" w:type="dxa"/>
        </w:trPr>
        <w:tc>
          <w:tcPr>
            <w:tcW w:w="285" w:type="dxa"/>
            <w:vMerge w:val="restart"/>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无源器械 A</w:t>
            </w:r>
          </w:p>
        </w:tc>
        <w:tc>
          <w:tcPr>
            <w:tcW w:w="1785" w:type="dxa"/>
            <w:gridSpan w:val="2"/>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使用形式</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基本不影响 -1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有间接影响 -2</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proofErr w:type="gramStart"/>
            <w:r w:rsidRPr="00AD19D5">
              <w:rPr>
                <w:rFonts w:ascii="宋体" w:eastAsia="宋体" w:hAnsi="宋体" w:cs="宋体" w:hint="eastAsia"/>
                <w:b/>
                <w:bCs/>
                <w:color w:val="666666"/>
                <w:kern w:val="0"/>
                <w:sz w:val="18"/>
                <w:szCs w:val="18"/>
              </w:rPr>
              <w:t>间接重要</w:t>
            </w:r>
            <w:proofErr w:type="gramEnd"/>
            <w:r w:rsidRPr="00AD19D5">
              <w:rPr>
                <w:rFonts w:ascii="宋体" w:eastAsia="宋体" w:hAnsi="宋体" w:cs="宋体" w:hint="eastAsia"/>
                <w:b/>
                <w:bCs/>
                <w:color w:val="666666"/>
                <w:kern w:val="0"/>
                <w:sz w:val="18"/>
                <w:szCs w:val="18"/>
              </w:rPr>
              <w:t>影响 -3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护理设备</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体外诊断试剂</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其他辅助器械</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r w:rsidR="00AD19D5" w:rsidRPr="00AD19D5" w:rsidTr="00AD19D5">
        <w:trPr>
          <w:trHeight w:val="390"/>
          <w:tblCellSpacing w:w="15" w:type="dxa"/>
        </w:trPr>
        <w:tc>
          <w:tcPr>
            <w:tcW w:w="285" w:type="dxa"/>
            <w:vMerge w:val="restart"/>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有源器械 B</w:t>
            </w:r>
          </w:p>
        </w:tc>
        <w:tc>
          <w:tcPr>
            <w:tcW w:w="1785" w:type="dxa"/>
            <w:gridSpan w:val="2"/>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使用形式</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基本不影响 -1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b/>
                <w:bCs/>
                <w:color w:val="666666"/>
                <w:kern w:val="0"/>
                <w:sz w:val="18"/>
                <w:szCs w:val="18"/>
              </w:rPr>
              <w:t>有间接影响 -2</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proofErr w:type="gramStart"/>
            <w:r w:rsidRPr="00AD19D5">
              <w:rPr>
                <w:rFonts w:ascii="宋体" w:eastAsia="宋体" w:hAnsi="宋体" w:cs="宋体" w:hint="eastAsia"/>
                <w:b/>
                <w:bCs/>
                <w:color w:val="666666"/>
                <w:kern w:val="0"/>
                <w:sz w:val="18"/>
                <w:szCs w:val="18"/>
              </w:rPr>
              <w:t>间接重要</w:t>
            </w:r>
            <w:proofErr w:type="gramEnd"/>
            <w:r w:rsidRPr="00AD19D5">
              <w:rPr>
                <w:rFonts w:ascii="宋体" w:eastAsia="宋体" w:hAnsi="宋体" w:cs="宋体" w:hint="eastAsia"/>
                <w:b/>
                <w:bCs/>
                <w:color w:val="666666"/>
                <w:kern w:val="0"/>
                <w:sz w:val="18"/>
                <w:szCs w:val="18"/>
              </w:rPr>
              <w:t>影响 -3</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实验室仪器设备</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消毒设备</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r w:rsidR="00AD19D5" w:rsidRPr="00AD19D5" w:rsidTr="00AD19D5">
        <w:trPr>
          <w:trHeight w:val="240"/>
          <w:tblCellSpacing w:w="15"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jc w:val="left"/>
              <w:rPr>
                <w:rFonts w:ascii="宋体" w:eastAsia="宋体" w:hAnsi="宋体" w:cs="宋体"/>
                <w:color w:val="666666"/>
                <w:kern w:val="0"/>
                <w:sz w:val="18"/>
                <w:szCs w:val="18"/>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3</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left"/>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其他辅助设备</w:t>
            </w:r>
          </w:p>
        </w:tc>
        <w:tc>
          <w:tcPr>
            <w:tcW w:w="220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1</w:t>
            </w:r>
          </w:p>
        </w:tc>
        <w:tc>
          <w:tcPr>
            <w:tcW w:w="2235" w:type="dxa"/>
            <w:gridSpan w:val="3"/>
            <w:tcBorders>
              <w:top w:val="outset" w:sz="6" w:space="0" w:color="000000"/>
              <w:left w:val="outset" w:sz="6" w:space="0" w:color="000000"/>
              <w:bottom w:val="outset" w:sz="6" w:space="0" w:color="000000"/>
              <w:right w:val="outset" w:sz="6" w:space="0" w:color="000000"/>
            </w:tcBorders>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2</w:t>
            </w:r>
          </w:p>
        </w:tc>
        <w:tc>
          <w:tcPr>
            <w:tcW w:w="2205" w:type="dxa"/>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D19D5" w:rsidRPr="00AD19D5" w:rsidRDefault="00AD19D5" w:rsidP="00AD19D5">
            <w:pPr>
              <w:widowControl/>
              <w:spacing w:before="100" w:beforeAutospacing="1" w:after="100" w:afterAutospacing="1" w:line="270" w:lineRule="atLeast"/>
              <w:jc w:val="center"/>
              <w:rPr>
                <w:rFonts w:ascii="宋体" w:eastAsia="宋体" w:hAnsi="宋体" w:cs="宋体"/>
                <w:color w:val="666666"/>
                <w:kern w:val="0"/>
                <w:sz w:val="18"/>
                <w:szCs w:val="18"/>
              </w:rPr>
            </w:pPr>
            <w:r w:rsidRPr="00AD19D5">
              <w:rPr>
                <w:rFonts w:ascii="宋体" w:eastAsia="宋体" w:hAnsi="宋体" w:cs="宋体" w:hint="eastAsia"/>
                <w:color w:val="666666"/>
                <w:kern w:val="0"/>
                <w:sz w:val="18"/>
                <w:szCs w:val="18"/>
              </w:rPr>
              <w:t>－</w:t>
            </w:r>
          </w:p>
        </w:tc>
      </w:tr>
    </w:tbl>
    <w:p w:rsidR="00AD19D5" w:rsidRPr="00AD19D5" w:rsidRDefault="00AD19D5" w:rsidP="00AD19D5">
      <w:pPr>
        <w:widowControl/>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textAlignment w:val="center"/>
        <w:rPr>
          <w:rFonts w:ascii="宋体" w:eastAsia="宋体" w:hAnsi="宋体" w:cs="宋体"/>
          <w:color w:val="666666"/>
          <w:kern w:val="0"/>
          <w:sz w:val="18"/>
          <w:szCs w:val="18"/>
        </w:rPr>
      </w:pPr>
      <w:r w:rsidRPr="00AD19D5">
        <w:rPr>
          <w:rFonts w:ascii="宋体" w:eastAsia="宋体" w:hAnsi="宋体" w:cs="宋体"/>
          <w:color w:val="666666"/>
          <w:kern w:val="0"/>
          <w:sz w:val="18"/>
          <w:szCs w:val="18"/>
        </w:rPr>
        <w:t xml:space="preserve">   </w:t>
      </w:r>
    </w:p>
    <w:p w:rsidR="00AD19D5" w:rsidRPr="00AD19D5" w:rsidRDefault="00AD19D5" w:rsidP="00AD19D5">
      <w:pPr>
        <w:ind w:firstLine="420"/>
        <w:rPr>
          <w:szCs w:val="21"/>
        </w:rPr>
      </w:pPr>
    </w:p>
    <w:sectPr w:rsidR="00AD19D5" w:rsidRPr="00AD19D5"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923" w:rsidRDefault="00635923" w:rsidP="00B550C3">
      <w:r>
        <w:separator/>
      </w:r>
    </w:p>
  </w:endnote>
  <w:endnote w:type="continuationSeparator" w:id="0">
    <w:p w:rsidR="00635923" w:rsidRDefault="00635923" w:rsidP="00B550C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923" w:rsidRDefault="00635923" w:rsidP="00B550C3">
      <w:r>
        <w:separator/>
      </w:r>
    </w:p>
  </w:footnote>
  <w:footnote w:type="continuationSeparator" w:id="0">
    <w:p w:rsidR="00635923" w:rsidRDefault="00635923" w:rsidP="00B550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0C3"/>
    <w:rsid w:val="002270E4"/>
    <w:rsid w:val="003D0A8C"/>
    <w:rsid w:val="00635923"/>
    <w:rsid w:val="00752A70"/>
    <w:rsid w:val="008125B9"/>
    <w:rsid w:val="00961D73"/>
    <w:rsid w:val="00AD19D5"/>
    <w:rsid w:val="00B550C3"/>
    <w:rsid w:val="00B92286"/>
    <w:rsid w:val="00C45F7D"/>
    <w:rsid w:val="00CB2C5B"/>
    <w:rsid w:val="00CB6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paragraph" w:styleId="1">
    <w:name w:val="heading 1"/>
    <w:basedOn w:val="a"/>
    <w:next w:val="a"/>
    <w:link w:val="1Char"/>
    <w:uiPriority w:val="9"/>
    <w:qFormat/>
    <w:rsid w:val="00B550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B55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550C3"/>
    <w:rPr>
      <w:kern w:val="2"/>
      <w:sz w:val="18"/>
      <w:szCs w:val="18"/>
    </w:rPr>
  </w:style>
  <w:style w:type="paragraph" w:styleId="a6">
    <w:name w:val="footer"/>
    <w:basedOn w:val="a"/>
    <w:link w:val="Char0"/>
    <w:uiPriority w:val="99"/>
    <w:semiHidden/>
    <w:unhideWhenUsed/>
    <w:rsid w:val="00B550C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550C3"/>
    <w:rPr>
      <w:kern w:val="2"/>
      <w:sz w:val="18"/>
      <w:szCs w:val="18"/>
    </w:rPr>
  </w:style>
  <w:style w:type="character" w:customStyle="1" w:styleId="1Char">
    <w:name w:val="标题 1 Char"/>
    <w:basedOn w:val="a0"/>
    <w:link w:val="1"/>
    <w:uiPriority w:val="9"/>
    <w:rsid w:val="00B550C3"/>
    <w:rPr>
      <w:b/>
      <w:bCs/>
      <w:kern w:val="44"/>
      <w:sz w:val="44"/>
      <w:szCs w:val="44"/>
    </w:rPr>
  </w:style>
  <w:style w:type="paragraph" w:styleId="HTML">
    <w:name w:val="HTML Preformatted"/>
    <w:basedOn w:val="a"/>
    <w:link w:val="HTMLChar"/>
    <w:uiPriority w:val="99"/>
    <w:semiHidden/>
    <w:unhideWhenUsed/>
    <w:rsid w:val="00AD1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19D5"/>
    <w:rPr>
      <w:rFonts w:ascii="宋体" w:eastAsia="宋体" w:hAnsi="宋体" w:cs="宋体"/>
      <w:sz w:val="24"/>
      <w:szCs w:val="24"/>
    </w:rPr>
  </w:style>
  <w:style w:type="paragraph" w:styleId="a7">
    <w:name w:val="Normal (Web)"/>
    <w:basedOn w:val="a"/>
    <w:uiPriority w:val="99"/>
    <w:unhideWhenUsed/>
    <w:rsid w:val="00AD19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7592553">
      <w:bodyDiv w:val="1"/>
      <w:marLeft w:val="0"/>
      <w:marRight w:val="0"/>
      <w:marTop w:val="0"/>
      <w:marBottom w:val="0"/>
      <w:divBdr>
        <w:top w:val="none" w:sz="0" w:space="0" w:color="auto"/>
        <w:left w:val="none" w:sz="0" w:space="0" w:color="auto"/>
        <w:bottom w:val="none" w:sz="0" w:space="0" w:color="auto"/>
        <w:right w:val="none" w:sz="0" w:space="0" w:color="auto"/>
      </w:divBdr>
    </w:div>
    <w:div w:id="18344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3</cp:revision>
  <dcterms:created xsi:type="dcterms:W3CDTF">2020-05-19T08:06:00Z</dcterms:created>
  <dcterms:modified xsi:type="dcterms:W3CDTF">2020-05-19T08:09:00Z</dcterms:modified>
</cp:coreProperties>
</file>